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5A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80E3FE7" w14:textId="77777777" w:rsidTr="005F7F7E">
        <w:tc>
          <w:tcPr>
            <w:tcW w:w="2438" w:type="dxa"/>
            <w:shd w:val="clear" w:color="auto" w:fill="auto"/>
          </w:tcPr>
          <w:p w14:paraId="0706200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1064192" w14:textId="6EFBC7C5" w:rsidR="00F445B1" w:rsidRPr="00F95BC9" w:rsidRDefault="00F445B1" w:rsidP="00327AAB">
            <w:pPr>
              <w:rPr>
                <w:rStyle w:val="Firstpagetablebold"/>
              </w:rPr>
            </w:pPr>
            <w:r w:rsidRPr="00F95BC9">
              <w:rPr>
                <w:rStyle w:val="Firstpagetablebold"/>
              </w:rPr>
              <w:t>C</w:t>
            </w:r>
            <w:r w:rsidR="00327AAB">
              <w:rPr>
                <w:rStyle w:val="Firstpagetablebold"/>
              </w:rPr>
              <w:t>abinet</w:t>
            </w:r>
          </w:p>
        </w:tc>
      </w:tr>
      <w:tr w:rsidR="00CE544A" w:rsidRPr="00975B07" w14:paraId="7E2B7A1B" w14:textId="77777777" w:rsidTr="005F7F7E">
        <w:tc>
          <w:tcPr>
            <w:tcW w:w="2438" w:type="dxa"/>
            <w:shd w:val="clear" w:color="auto" w:fill="auto"/>
          </w:tcPr>
          <w:p w14:paraId="15B64DC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DD34C86" w14:textId="351A3605" w:rsidR="00F445B1" w:rsidRPr="001356F1" w:rsidRDefault="00706CE1" w:rsidP="00BD77AA">
            <w:pPr>
              <w:rPr>
                <w:b/>
              </w:rPr>
            </w:pPr>
            <w:r>
              <w:rPr>
                <w:rStyle w:val="Firstpagetablebold"/>
              </w:rPr>
              <w:t>0</w:t>
            </w:r>
            <w:bookmarkStart w:id="0" w:name="_GoBack"/>
            <w:bookmarkEnd w:id="0"/>
            <w:r w:rsidR="00731FFA">
              <w:rPr>
                <w:rStyle w:val="Firstpagetablebold"/>
              </w:rPr>
              <w:t>9</w:t>
            </w:r>
            <w:r w:rsidR="00016B12">
              <w:rPr>
                <w:rStyle w:val="Firstpagetablebold"/>
              </w:rPr>
              <w:t xml:space="preserve"> December</w:t>
            </w:r>
            <w:r w:rsidR="002A7E9C">
              <w:rPr>
                <w:rStyle w:val="Firstpagetablebold"/>
              </w:rPr>
              <w:t xml:space="preserve"> </w:t>
            </w:r>
            <w:r w:rsidR="00AC09DB">
              <w:rPr>
                <w:rStyle w:val="Firstpagetablebold"/>
              </w:rPr>
              <w:t>2020</w:t>
            </w:r>
          </w:p>
        </w:tc>
      </w:tr>
      <w:tr w:rsidR="00CE544A" w:rsidRPr="00975B07" w14:paraId="66981BA9" w14:textId="77777777" w:rsidTr="005F7F7E">
        <w:tc>
          <w:tcPr>
            <w:tcW w:w="2438" w:type="dxa"/>
            <w:shd w:val="clear" w:color="auto" w:fill="auto"/>
          </w:tcPr>
          <w:p w14:paraId="64F85E4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746EA52"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0D9914C8" w14:textId="77777777" w:rsidTr="005F7F7E">
        <w:tc>
          <w:tcPr>
            <w:tcW w:w="2438" w:type="dxa"/>
            <w:shd w:val="clear" w:color="auto" w:fill="auto"/>
          </w:tcPr>
          <w:p w14:paraId="746A145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49BF1D4" w14:textId="1C17F84E" w:rsidR="00F445B1" w:rsidRPr="001356F1" w:rsidRDefault="002A7E9C" w:rsidP="004A6D2F">
            <w:pPr>
              <w:rPr>
                <w:rStyle w:val="Firstpagetablebold"/>
              </w:rPr>
            </w:pPr>
            <w:r w:rsidRPr="002A7E9C">
              <w:rPr>
                <w:rStyle w:val="Firstpagetablebold"/>
              </w:rPr>
              <w:t>Treasury Management Mid-Year Review for April – September 20</w:t>
            </w:r>
            <w:r w:rsidR="000C7496">
              <w:rPr>
                <w:rStyle w:val="Firstpagetablebold"/>
              </w:rPr>
              <w:t>20</w:t>
            </w:r>
          </w:p>
        </w:tc>
      </w:tr>
    </w:tbl>
    <w:p w14:paraId="44BEEA1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61EB06D" w14:textId="77777777" w:rsidTr="0080749A">
        <w:tc>
          <w:tcPr>
            <w:tcW w:w="8845" w:type="dxa"/>
            <w:gridSpan w:val="3"/>
            <w:tcBorders>
              <w:bottom w:val="single" w:sz="8" w:space="0" w:color="000000"/>
            </w:tcBorders>
            <w:hideMark/>
          </w:tcPr>
          <w:p w14:paraId="6B26447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B3A1110" w14:textId="77777777" w:rsidTr="0080749A">
        <w:tc>
          <w:tcPr>
            <w:tcW w:w="2438" w:type="dxa"/>
            <w:gridSpan w:val="2"/>
            <w:tcBorders>
              <w:top w:val="single" w:sz="8" w:space="0" w:color="000000"/>
              <w:left w:val="single" w:sz="8" w:space="0" w:color="000000"/>
              <w:bottom w:val="nil"/>
              <w:right w:val="nil"/>
            </w:tcBorders>
            <w:hideMark/>
          </w:tcPr>
          <w:p w14:paraId="52631BD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2FE391" w14:textId="622804EB" w:rsidR="00D5547E" w:rsidRPr="001356F1" w:rsidRDefault="002A7E9C" w:rsidP="00327AAB">
            <w:r w:rsidRPr="002A7E9C">
              <w:t>To report on the performance of the Treasury Management function for the 6 months to 30</w:t>
            </w:r>
            <w:r w:rsidR="00B52CE1">
              <w:t xml:space="preserve"> </w:t>
            </w:r>
            <w:r w:rsidRPr="002A7E9C">
              <w:t>September 20</w:t>
            </w:r>
            <w:r w:rsidR="000C7496">
              <w:t>20</w:t>
            </w:r>
          </w:p>
        </w:tc>
      </w:tr>
      <w:tr w:rsidR="00D5547E" w14:paraId="2929C442" w14:textId="77777777" w:rsidTr="0080749A">
        <w:tc>
          <w:tcPr>
            <w:tcW w:w="2438" w:type="dxa"/>
            <w:gridSpan w:val="2"/>
            <w:tcBorders>
              <w:top w:val="nil"/>
              <w:left w:val="single" w:sz="8" w:space="0" w:color="000000"/>
              <w:bottom w:val="nil"/>
              <w:right w:val="nil"/>
            </w:tcBorders>
            <w:hideMark/>
          </w:tcPr>
          <w:p w14:paraId="6DAD4F0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CBEA76D" w14:textId="77777777" w:rsidR="00D5547E" w:rsidRPr="002A7E9C" w:rsidRDefault="00D5547E" w:rsidP="005F7F7E">
            <w:pPr>
              <w:rPr>
                <w:color w:val="auto"/>
              </w:rPr>
            </w:pPr>
            <w:r w:rsidRPr="002A7E9C">
              <w:rPr>
                <w:color w:val="auto"/>
              </w:rPr>
              <w:t>No</w:t>
            </w:r>
          </w:p>
        </w:tc>
      </w:tr>
      <w:tr w:rsidR="00D5547E" w14:paraId="50B943C5" w14:textId="77777777" w:rsidTr="0080749A">
        <w:tc>
          <w:tcPr>
            <w:tcW w:w="2438" w:type="dxa"/>
            <w:gridSpan w:val="2"/>
            <w:tcBorders>
              <w:top w:val="nil"/>
              <w:left w:val="single" w:sz="8" w:space="0" w:color="000000"/>
              <w:bottom w:val="nil"/>
              <w:right w:val="nil"/>
            </w:tcBorders>
            <w:hideMark/>
          </w:tcPr>
          <w:p w14:paraId="425AF2A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361B4F2D" w14:textId="1C6D6C0D" w:rsidR="00D5547E" w:rsidRPr="001356F1" w:rsidRDefault="002A7E9C" w:rsidP="00337A46">
            <w:r w:rsidRPr="002A7E9C">
              <w:t>Councillor Ed Turner, (Deputy Leader) Finance</w:t>
            </w:r>
            <w:r w:rsidR="00337A46">
              <w:t xml:space="preserve"> and Corporate Assets</w:t>
            </w:r>
          </w:p>
        </w:tc>
      </w:tr>
      <w:tr w:rsidR="0080749A" w14:paraId="1E962F9E" w14:textId="77777777" w:rsidTr="0080749A">
        <w:tc>
          <w:tcPr>
            <w:tcW w:w="2438" w:type="dxa"/>
            <w:gridSpan w:val="2"/>
            <w:tcBorders>
              <w:top w:val="nil"/>
              <w:left w:val="single" w:sz="8" w:space="0" w:color="000000"/>
              <w:bottom w:val="nil"/>
              <w:right w:val="nil"/>
            </w:tcBorders>
          </w:tcPr>
          <w:p w14:paraId="6E69AEE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7681262" w14:textId="0FB61C3F" w:rsidR="0080749A" w:rsidRPr="001356F1" w:rsidRDefault="00B67BEB" w:rsidP="002A7E9C">
            <w:r>
              <w:t>All</w:t>
            </w:r>
          </w:p>
        </w:tc>
      </w:tr>
      <w:tr w:rsidR="00D5547E" w14:paraId="5884B10C" w14:textId="77777777" w:rsidTr="0080749A">
        <w:tc>
          <w:tcPr>
            <w:tcW w:w="2438" w:type="dxa"/>
            <w:gridSpan w:val="2"/>
            <w:tcBorders>
              <w:top w:val="nil"/>
              <w:left w:val="single" w:sz="8" w:space="0" w:color="000000"/>
              <w:bottom w:val="nil"/>
              <w:right w:val="nil"/>
            </w:tcBorders>
            <w:hideMark/>
          </w:tcPr>
          <w:p w14:paraId="02AD771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3BEC47C" w14:textId="224CD699" w:rsidR="00D5547E" w:rsidRPr="001356F1" w:rsidRDefault="00B67BEB" w:rsidP="005F7F7E">
            <w:r>
              <w:t>Council Strategy 2020-24</w:t>
            </w:r>
          </w:p>
        </w:tc>
      </w:tr>
      <w:tr w:rsidR="005F7F7E" w:rsidRPr="00975B07" w14:paraId="2605ADBD" w14:textId="77777777" w:rsidTr="00A46E98">
        <w:trPr>
          <w:trHeight w:val="413"/>
        </w:trPr>
        <w:tc>
          <w:tcPr>
            <w:tcW w:w="8845" w:type="dxa"/>
            <w:gridSpan w:val="3"/>
            <w:tcBorders>
              <w:bottom w:val="single" w:sz="8" w:space="0" w:color="000000"/>
            </w:tcBorders>
          </w:tcPr>
          <w:p w14:paraId="75890EB2" w14:textId="551DC561" w:rsidR="005F7F7E" w:rsidRPr="00975B07" w:rsidRDefault="00B67BEB" w:rsidP="00B67BEB">
            <w:proofErr w:type="spellStart"/>
            <w:r>
              <w:rPr>
                <w:rStyle w:val="Firstpagetablebold"/>
              </w:rPr>
              <w:t>Recommendations</w:t>
            </w:r>
            <w:r w:rsidR="005F7F7E">
              <w:rPr>
                <w:rStyle w:val="Firstpagetablebold"/>
              </w:rPr>
              <w:t>:</w:t>
            </w:r>
            <w:r>
              <w:rPr>
                <w:rStyle w:val="Firstpagetablebold"/>
                <w:b w:val="0"/>
              </w:rPr>
              <w:t>That</w:t>
            </w:r>
            <w:proofErr w:type="spellEnd"/>
            <w:r>
              <w:rPr>
                <w:rStyle w:val="Firstpagetablebold"/>
                <w:b w:val="0"/>
              </w:rPr>
              <w:t xml:space="preserve"> </w:t>
            </w:r>
            <w:r w:rsidR="005F7F7E" w:rsidRPr="00B67BEB">
              <w:rPr>
                <w:rStyle w:val="Firstpagetablebold"/>
                <w:b w:val="0"/>
              </w:rPr>
              <w:t xml:space="preserve"> </w:t>
            </w:r>
            <w:r w:rsidRPr="00B67BEB">
              <w:rPr>
                <w:rStyle w:val="Firstpagetablebold"/>
                <w:b w:val="0"/>
              </w:rPr>
              <w:t xml:space="preserve">Cabinet </w:t>
            </w:r>
            <w:r w:rsidR="005F7F7E" w:rsidRPr="00B67BEB">
              <w:rPr>
                <w:rStyle w:val="Firstpagetablebold"/>
                <w:b w:val="0"/>
              </w:rPr>
              <w:t>resolves to:</w:t>
            </w:r>
          </w:p>
        </w:tc>
      </w:tr>
      <w:tr w:rsidR="0030208D" w:rsidRPr="00975B07" w14:paraId="49FE2BFA" w14:textId="77777777" w:rsidTr="00A46E98">
        <w:trPr>
          <w:trHeight w:val="283"/>
        </w:trPr>
        <w:tc>
          <w:tcPr>
            <w:tcW w:w="426" w:type="dxa"/>
            <w:tcBorders>
              <w:top w:val="single" w:sz="8" w:space="0" w:color="000000"/>
              <w:left w:val="single" w:sz="8" w:space="0" w:color="000000"/>
              <w:bottom w:val="nil"/>
              <w:right w:val="nil"/>
            </w:tcBorders>
          </w:tcPr>
          <w:p w14:paraId="42E6F4DE" w14:textId="77777777" w:rsidR="0030208D" w:rsidRDefault="00046D2B" w:rsidP="00731FFA">
            <w:pPr>
              <w:spacing w:after="0"/>
            </w:pPr>
            <w:r w:rsidRPr="00975B07">
              <w:t>1.</w:t>
            </w:r>
          </w:p>
          <w:p w14:paraId="4D4ECA16" w14:textId="79B22F49" w:rsidR="00016B12" w:rsidRPr="00975B07" w:rsidRDefault="00016B12" w:rsidP="00B84FAF">
            <w:pPr>
              <w:spacing w:after="0"/>
            </w:pPr>
          </w:p>
        </w:tc>
        <w:tc>
          <w:tcPr>
            <w:tcW w:w="8419" w:type="dxa"/>
            <w:gridSpan w:val="2"/>
            <w:tcBorders>
              <w:top w:val="single" w:sz="8" w:space="0" w:color="000000"/>
              <w:left w:val="nil"/>
              <w:bottom w:val="nil"/>
              <w:right w:val="single" w:sz="8" w:space="0" w:color="000000"/>
            </w:tcBorders>
            <w:shd w:val="clear" w:color="auto" w:fill="auto"/>
          </w:tcPr>
          <w:p w14:paraId="085BEF76" w14:textId="43CD01A0" w:rsidR="00506B9D" w:rsidRPr="001356F1" w:rsidRDefault="002A7E9C" w:rsidP="00731FFA">
            <w:pPr>
              <w:spacing w:after="0"/>
            </w:pPr>
            <w:r w:rsidRPr="00B67BEB">
              <w:rPr>
                <w:rStyle w:val="Firstpagetablebold"/>
              </w:rPr>
              <w:t>Note</w:t>
            </w:r>
            <w:r w:rsidRPr="00731FFA">
              <w:rPr>
                <w:rStyle w:val="Firstpagetablebold"/>
                <w:b w:val="0"/>
              </w:rPr>
              <w:t xml:space="preserve"> the performance of the Treasury Management function for the six months to 30</w:t>
            </w:r>
            <w:r w:rsidRPr="00731FFA">
              <w:rPr>
                <w:rStyle w:val="Firstpagetablebold"/>
                <w:b w:val="0"/>
                <w:vertAlign w:val="superscript"/>
              </w:rPr>
              <w:t>th</w:t>
            </w:r>
            <w:r w:rsidRPr="00731FFA">
              <w:rPr>
                <w:rStyle w:val="Firstpagetablebold"/>
                <w:b w:val="0"/>
              </w:rPr>
              <w:t xml:space="preserve"> September 20</w:t>
            </w:r>
            <w:r w:rsidR="000C7496">
              <w:rPr>
                <w:rStyle w:val="Firstpagetablebold"/>
                <w:b w:val="0"/>
              </w:rPr>
              <w:t>20</w:t>
            </w:r>
          </w:p>
        </w:tc>
      </w:tr>
      <w:tr w:rsidR="00232F5B" w:rsidRPr="00975B07" w14:paraId="5D15DCF9" w14:textId="77777777" w:rsidTr="00A46E98">
        <w:trPr>
          <w:trHeight w:val="283"/>
        </w:trPr>
        <w:tc>
          <w:tcPr>
            <w:tcW w:w="426" w:type="dxa"/>
            <w:tcBorders>
              <w:top w:val="nil"/>
              <w:left w:val="single" w:sz="8" w:space="0" w:color="000000"/>
              <w:bottom w:val="single" w:sz="8" w:space="0" w:color="000000"/>
              <w:right w:val="nil"/>
            </w:tcBorders>
          </w:tcPr>
          <w:p w14:paraId="36E9F2CF" w14:textId="2AC42594"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4814B2A2" w14:textId="59B36BDD" w:rsidR="0030208D" w:rsidRPr="001356F1" w:rsidRDefault="0030208D" w:rsidP="00731FFA">
            <w:pPr>
              <w:spacing w:after="0"/>
            </w:pPr>
          </w:p>
        </w:tc>
      </w:tr>
    </w:tbl>
    <w:p w14:paraId="2ACB1A6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E93EA8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C14C2B" w14:textId="77777777" w:rsidR="00966D42" w:rsidRPr="00975B07" w:rsidRDefault="00966D42" w:rsidP="00263EA3">
            <w:pPr>
              <w:jc w:val="center"/>
            </w:pPr>
            <w:r w:rsidRPr="00745BF0">
              <w:rPr>
                <w:rStyle w:val="Firstpagetablebold"/>
              </w:rPr>
              <w:t>Appendices</w:t>
            </w:r>
          </w:p>
        </w:tc>
      </w:tr>
      <w:tr w:rsidR="00ED5860" w:rsidRPr="00975B07" w14:paraId="215FC95F" w14:textId="77777777" w:rsidTr="00A46E98">
        <w:tc>
          <w:tcPr>
            <w:tcW w:w="2438" w:type="dxa"/>
            <w:tcBorders>
              <w:top w:val="single" w:sz="8" w:space="0" w:color="000000"/>
              <w:left w:val="single" w:sz="8" w:space="0" w:color="000000"/>
              <w:bottom w:val="nil"/>
              <w:right w:val="nil"/>
            </w:tcBorders>
            <w:shd w:val="clear" w:color="auto" w:fill="auto"/>
          </w:tcPr>
          <w:p w14:paraId="7B99463C"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285C0A" w14:textId="5A39543C" w:rsidR="00ED5860" w:rsidRPr="001356F1" w:rsidRDefault="002A7E9C" w:rsidP="002A7E9C">
            <w:r w:rsidRPr="002A7E9C">
              <w:t>List of investments as at 30</w:t>
            </w:r>
            <w:r w:rsidRPr="002A7E9C">
              <w:rPr>
                <w:vertAlign w:val="superscript"/>
              </w:rPr>
              <w:t>th</w:t>
            </w:r>
            <w:r>
              <w:t xml:space="preserve"> </w:t>
            </w:r>
            <w:r w:rsidRPr="002A7E9C">
              <w:t>September 20</w:t>
            </w:r>
            <w:r w:rsidR="000C7496">
              <w:t>20</w:t>
            </w:r>
          </w:p>
        </w:tc>
      </w:tr>
      <w:tr w:rsidR="00ED5860" w:rsidRPr="00975B07" w14:paraId="698DE994" w14:textId="77777777" w:rsidTr="00A46E98">
        <w:tc>
          <w:tcPr>
            <w:tcW w:w="2438" w:type="dxa"/>
            <w:tcBorders>
              <w:top w:val="nil"/>
              <w:left w:val="single" w:sz="8" w:space="0" w:color="000000"/>
              <w:bottom w:val="nil"/>
              <w:right w:val="nil"/>
            </w:tcBorders>
            <w:shd w:val="clear" w:color="auto" w:fill="auto"/>
          </w:tcPr>
          <w:p w14:paraId="72BCFDE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7657031" w14:textId="77777777" w:rsidR="00ED5860" w:rsidRPr="001356F1" w:rsidRDefault="002A7E9C" w:rsidP="004A6D2F">
            <w:r w:rsidRPr="002A7E9C">
              <w:t>Risk Register</w:t>
            </w:r>
          </w:p>
        </w:tc>
      </w:tr>
      <w:tr w:rsidR="0030208D" w:rsidRPr="00975B07" w14:paraId="45FFF94C" w14:textId="77777777" w:rsidTr="00A46E98">
        <w:tc>
          <w:tcPr>
            <w:tcW w:w="2438" w:type="dxa"/>
            <w:tcBorders>
              <w:top w:val="nil"/>
              <w:left w:val="single" w:sz="8" w:space="0" w:color="000000"/>
              <w:bottom w:val="single" w:sz="8" w:space="0" w:color="000000"/>
              <w:right w:val="nil"/>
            </w:tcBorders>
            <w:shd w:val="clear" w:color="auto" w:fill="auto"/>
          </w:tcPr>
          <w:p w14:paraId="0446D48C" w14:textId="77777777" w:rsidR="0030208D" w:rsidRPr="00975B07" w:rsidRDefault="0030208D" w:rsidP="004A6D2F"/>
        </w:tc>
        <w:tc>
          <w:tcPr>
            <w:tcW w:w="6406" w:type="dxa"/>
            <w:tcBorders>
              <w:top w:val="nil"/>
              <w:left w:val="nil"/>
              <w:bottom w:val="single" w:sz="8" w:space="0" w:color="000000"/>
              <w:right w:val="single" w:sz="8" w:space="0" w:color="000000"/>
            </w:tcBorders>
          </w:tcPr>
          <w:p w14:paraId="2C54A30D" w14:textId="77777777" w:rsidR="0030208D" w:rsidRPr="001356F1" w:rsidRDefault="0030208D" w:rsidP="004A6D2F"/>
        </w:tc>
      </w:tr>
    </w:tbl>
    <w:p w14:paraId="080BAEB5"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4339FDEA" w14:textId="77777777" w:rsidR="002A7E9C" w:rsidRPr="002A7E9C" w:rsidRDefault="002A7E9C" w:rsidP="002A7E9C">
      <w:pPr>
        <w:pStyle w:val="ListParagraph"/>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14:paraId="22CEE1A3" w14:textId="0886510D"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0C7496">
        <w:rPr>
          <w:lang w:val="en-AU"/>
        </w:rPr>
        <w:t>20</w:t>
      </w:r>
      <w:r w:rsidRPr="002A7E9C">
        <w:rPr>
          <w:lang w:val="en-AU"/>
        </w:rPr>
        <w:t>/</w:t>
      </w:r>
      <w:r w:rsidR="00861414">
        <w:rPr>
          <w:lang w:val="en-AU"/>
        </w:rPr>
        <w:t>2</w:t>
      </w:r>
      <w:r w:rsidR="000C7496">
        <w:rPr>
          <w:lang w:val="en-AU"/>
        </w:rPr>
        <w:t>1</w:t>
      </w:r>
      <w:r w:rsidRPr="002A7E9C">
        <w:rPr>
          <w:lang w:val="en-AU"/>
        </w:rPr>
        <w:t xml:space="preserve"> financial year</w:t>
      </w:r>
    </w:p>
    <w:p w14:paraId="75B2E5B4" w14:textId="13AA4F10" w:rsidR="002A7E9C" w:rsidRPr="002A7E9C" w:rsidRDefault="002A7E9C" w:rsidP="002A7E9C">
      <w:pPr>
        <w:pStyle w:val="ListParagraph"/>
        <w:numPr>
          <w:ilvl w:val="0"/>
          <w:numId w:val="36"/>
        </w:numPr>
        <w:rPr>
          <w:lang w:val="en-AU"/>
        </w:rPr>
      </w:pPr>
      <w:r w:rsidRPr="002A7E9C">
        <w:rPr>
          <w:lang w:val="en-AU"/>
        </w:rPr>
        <w:t>A review of the Council’s investment portfolio for 20</w:t>
      </w:r>
      <w:r w:rsidR="000C7496">
        <w:rPr>
          <w:lang w:val="en-AU"/>
        </w:rPr>
        <w:t>20</w:t>
      </w:r>
      <w:r w:rsidRPr="002A7E9C">
        <w:rPr>
          <w:lang w:val="en-AU"/>
        </w:rPr>
        <w:t>/</w:t>
      </w:r>
      <w:r w:rsidR="00861414">
        <w:rPr>
          <w:lang w:val="en-AU"/>
        </w:rPr>
        <w:t>2</w:t>
      </w:r>
      <w:r w:rsidR="000C7496">
        <w:rPr>
          <w:lang w:val="en-AU"/>
        </w:rPr>
        <w:t>1</w:t>
      </w:r>
    </w:p>
    <w:p w14:paraId="6B233322" w14:textId="705BA0A0" w:rsidR="002A7E9C" w:rsidRPr="002A7E9C" w:rsidRDefault="002A7E9C" w:rsidP="002A7E9C">
      <w:pPr>
        <w:pStyle w:val="ListParagraph"/>
        <w:numPr>
          <w:ilvl w:val="0"/>
          <w:numId w:val="36"/>
        </w:numPr>
        <w:rPr>
          <w:lang w:val="en-AU"/>
        </w:rPr>
      </w:pPr>
      <w:r w:rsidRPr="002A7E9C">
        <w:rPr>
          <w:lang w:val="en-AU"/>
        </w:rPr>
        <w:t>A review of the Council’s borrowing strategy for 20</w:t>
      </w:r>
      <w:r w:rsidR="000C7496">
        <w:rPr>
          <w:lang w:val="en-AU"/>
        </w:rPr>
        <w:t>20</w:t>
      </w:r>
      <w:r w:rsidRPr="002A7E9C">
        <w:rPr>
          <w:lang w:val="en-AU"/>
        </w:rPr>
        <w:t>/</w:t>
      </w:r>
      <w:r w:rsidR="00861414">
        <w:rPr>
          <w:lang w:val="en-AU"/>
        </w:rPr>
        <w:t>2</w:t>
      </w:r>
      <w:r w:rsidR="000C7496">
        <w:rPr>
          <w:lang w:val="en-AU"/>
        </w:rPr>
        <w:t>1</w:t>
      </w:r>
    </w:p>
    <w:p w14:paraId="406D8C39" w14:textId="0615E1CF" w:rsidR="002A7E9C" w:rsidRPr="00B52CE1" w:rsidRDefault="002A7E9C" w:rsidP="002A7E9C">
      <w:pPr>
        <w:pStyle w:val="ListParagraph"/>
        <w:numPr>
          <w:ilvl w:val="0"/>
          <w:numId w:val="36"/>
        </w:numPr>
        <w:rPr>
          <w:lang w:val="en-AU"/>
        </w:rPr>
      </w:pPr>
      <w:r w:rsidRPr="00B52CE1">
        <w:rPr>
          <w:lang w:val="en-AU"/>
        </w:rPr>
        <w:lastRenderedPageBreak/>
        <w:t xml:space="preserve">A </w:t>
      </w:r>
      <w:r w:rsidR="00B52CE1" w:rsidRPr="00B52CE1">
        <w:rPr>
          <w:lang w:val="en-AU"/>
        </w:rPr>
        <w:t>statement</w:t>
      </w:r>
      <w:r w:rsidRPr="00B52CE1">
        <w:rPr>
          <w:lang w:val="en-AU"/>
        </w:rPr>
        <w:t xml:space="preserve"> of compliance with Treasury and Prudential Limits for 20</w:t>
      </w:r>
      <w:r w:rsidR="000C7496">
        <w:rPr>
          <w:lang w:val="en-AU"/>
        </w:rPr>
        <w:t>20</w:t>
      </w:r>
      <w:r w:rsidRPr="00B52CE1">
        <w:rPr>
          <w:lang w:val="en-AU"/>
        </w:rPr>
        <w:t>/</w:t>
      </w:r>
      <w:r w:rsidR="00861414">
        <w:rPr>
          <w:lang w:val="en-AU"/>
        </w:rPr>
        <w:t>2</w:t>
      </w:r>
      <w:r w:rsidR="000C7496">
        <w:rPr>
          <w:lang w:val="en-AU"/>
        </w:rPr>
        <w:t>1</w:t>
      </w:r>
    </w:p>
    <w:p w14:paraId="45A93DB3" w14:textId="77777777" w:rsidR="002A7E9C" w:rsidRPr="002A7E9C" w:rsidRDefault="002A7E9C" w:rsidP="002A7E9C">
      <w:pPr>
        <w:pStyle w:val="ListParagraph"/>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08B0D173" w14:textId="77777777" w:rsidR="00861414" w:rsidRDefault="002A7E9C" w:rsidP="00861414">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025FDEF4" w14:textId="77777777" w:rsidR="00344001" w:rsidRPr="00344001" w:rsidRDefault="00344001" w:rsidP="00344001">
      <w:pPr>
        <w:pStyle w:val="ListParagraph"/>
        <w:numPr>
          <w:ilvl w:val="0"/>
          <w:numId w:val="0"/>
        </w:numPr>
        <w:rPr>
          <w:b/>
        </w:rPr>
      </w:pPr>
      <w:r w:rsidRPr="00344001">
        <w:rPr>
          <w:b/>
        </w:rPr>
        <w:t>Economic Overview</w:t>
      </w:r>
    </w:p>
    <w:p w14:paraId="526DAF2C" w14:textId="6831128D" w:rsidR="00D75E82" w:rsidRDefault="00AC09DB" w:rsidP="00AC09DB">
      <w:pPr>
        <w:pStyle w:val="ListParagraph"/>
      </w:pPr>
      <w:r w:rsidRPr="00AC09DB">
        <w:t>On 19th March 202</w:t>
      </w:r>
      <w:r w:rsidR="00DE0E5D">
        <w:t>0</w:t>
      </w:r>
      <w:r w:rsidRPr="00AC09DB">
        <w:t xml:space="preserve"> the Bank of England cut the base rate to 0.10% to help control the economic shock of the Coronavirus. The rate looks </w:t>
      </w:r>
      <w:r w:rsidR="00BD77AA">
        <w:t xml:space="preserve">likely </w:t>
      </w:r>
      <w:r w:rsidRPr="00AC09DB">
        <w:t xml:space="preserve">to stay at this level until inflation is sustainably meeting the </w:t>
      </w:r>
      <w:r>
        <w:t>B</w:t>
      </w:r>
      <w:r w:rsidRPr="00AC09DB">
        <w:t>ank of England</w:t>
      </w:r>
      <w:r>
        <w:t>’</w:t>
      </w:r>
      <w:r w:rsidRPr="00AC09DB">
        <w:t>s target levels.</w:t>
      </w:r>
    </w:p>
    <w:p w14:paraId="6E2FC522" w14:textId="224917C3" w:rsidR="00AC09DB" w:rsidRPr="00954E7F" w:rsidRDefault="00AC09DB" w:rsidP="00AC09DB">
      <w:pPr>
        <w:numPr>
          <w:ilvl w:val="0"/>
          <w:numId w:val="48"/>
        </w:numPr>
        <w:tabs>
          <w:tab w:val="num" w:pos="1701"/>
        </w:tabs>
        <w:spacing w:after="0"/>
        <w:jc w:val="both"/>
        <w:rPr>
          <w:rFonts w:eastAsia="Arial"/>
          <w:bCs/>
          <w:color w:val="1D1B11" w:themeColor="background2" w:themeShade="1A"/>
          <w:lang w:val="en-AU" w:eastAsia="en-US"/>
        </w:rPr>
      </w:pPr>
      <w:r w:rsidRPr="00954E7F">
        <w:rPr>
          <w:rFonts w:eastAsia="Arial"/>
          <w:bCs/>
          <w:color w:val="1D1B11" w:themeColor="background2" w:themeShade="1A"/>
          <w:lang w:val="en-AU" w:eastAsia="en-US"/>
        </w:rPr>
        <w:t xml:space="preserve">Bank of England has squashed any idea of using </w:t>
      </w:r>
      <w:r w:rsidRPr="00954E7F">
        <w:rPr>
          <w:rFonts w:eastAsia="Arial"/>
          <w:b/>
          <w:bCs/>
          <w:color w:val="1D1B11" w:themeColor="background2" w:themeShade="1A"/>
          <w:lang w:val="en-AU" w:eastAsia="en-US"/>
        </w:rPr>
        <w:t>negative interest rates</w:t>
      </w:r>
      <w:r w:rsidRPr="00954E7F">
        <w:rPr>
          <w:rFonts w:eastAsia="Arial"/>
          <w:bCs/>
          <w:color w:val="1D1B11" w:themeColor="background2" w:themeShade="1A"/>
          <w:lang w:val="en-AU" w:eastAsia="en-US"/>
        </w:rPr>
        <w:t>, at least in the next six months or so. It suggested that while negative rates can work in some circumstances, it would be “less effective as a tool to stimulate the economy” at this time when banks are worried about future loan losses. It also has “other instruments available”, including Q</w:t>
      </w:r>
      <w:r w:rsidR="00BD77AA">
        <w:rPr>
          <w:rFonts w:eastAsia="Arial"/>
          <w:bCs/>
          <w:color w:val="1D1B11" w:themeColor="background2" w:themeShade="1A"/>
          <w:lang w:val="en-AU" w:eastAsia="en-US"/>
        </w:rPr>
        <w:t>uantit</w:t>
      </w:r>
      <w:r w:rsidR="00337A46">
        <w:rPr>
          <w:rFonts w:eastAsia="Arial"/>
          <w:bCs/>
          <w:color w:val="1D1B11" w:themeColor="background2" w:themeShade="1A"/>
          <w:lang w:val="en-AU" w:eastAsia="en-US"/>
        </w:rPr>
        <w:t>at</w:t>
      </w:r>
      <w:r w:rsidR="00BD77AA">
        <w:rPr>
          <w:rFonts w:eastAsia="Arial"/>
          <w:bCs/>
          <w:color w:val="1D1B11" w:themeColor="background2" w:themeShade="1A"/>
          <w:lang w:val="en-AU" w:eastAsia="en-US"/>
        </w:rPr>
        <w:t>ive Easing (Q</w:t>
      </w:r>
      <w:r w:rsidRPr="00954E7F">
        <w:rPr>
          <w:rFonts w:eastAsia="Arial"/>
          <w:bCs/>
          <w:color w:val="1D1B11" w:themeColor="background2" w:themeShade="1A"/>
          <w:lang w:val="en-AU" w:eastAsia="en-US"/>
        </w:rPr>
        <w:t>E</w:t>
      </w:r>
      <w:r w:rsidR="00BD77AA">
        <w:rPr>
          <w:rFonts w:eastAsia="Arial"/>
          <w:bCs/>
          <w:color w:val="1D1B11" w:themeColor="background2" w:themeShade="1A"/>
          <w:lang w:val="en-AU" w:eastAsia="en-US"/>
        </w:rPr>
        <w:t>)</w:t>
      </w:r>
      <w:r w:rsidRPr="00954E7F">
        <w:rPr>
          <w:rFonts w:eastAsia="Arial"/>
          <w:bCs/>
          <w:color w:val="1D1B11" w:themeColor="background2" w:themeShade="1A"/>
          <w:lang w:val="en-AU" w:eastAsia="en-US"/>
        </w:rPr>
        <w:t xml:space="preserve"> and the use of forward guidance.</w:t>
      </w:r>
    </w:p>
    <w:p w14:paraId="39AA8B82" w14:textId="19468BA7" w:rsidR="00AC09DB" w:rsidRPr="00954E7F" w:rsidRDefault="00AC09DB" w:rsidP="00AC09DB">
      <w:pPr>
        <w:numPr>
          <w:ilvl w:val="0"/>
          <w:numId w:val="48"/>
        </w:numPr>
        <w:tabs>
          <w:tab w:val="num" w:pos="1701"/>
        </w:tabs>
        <w:spacing w:after="0"/>
        <w:jc w:val="both"/>
        <w:rPr>
          <w:bCs/>
          <w:color w:val="1D1B11" w:themeColor="background2" w:themeShade="1A"/>
        </w:rPr>
      </w:pPr>
      <w:r w:rsidRPr="00954E7F">
        <w:rPr>
          <w:b/>
          <w:bCs/>
          <w:color w:val="1D1B11" w:themeColor="background2" w:themeShade="1A"/>
        </w:rPr>
        <w:t>The pace of recovery</w:t>
      </w:r>
      <w:r w:rsidRPr="00954E7F">
        <w:rPr>
          <w:bCs/>
          <w:color w:val="1D1B11" w:themeColor="background2" w:themeShade="1A"/>
        </w:rPr>
        <w:t xml:space="preserve"> is not expected to be in the form of a rapid V shape, but a more elongated and prolonged one after a sharp recovery in June through to August which left the economy 11.7% smaller than in February. The last three months of 2020 are now likely to show no growth as consumers will probably remain cautious in spending and uncertainty over the outcome of the UK/EU trade negotiations concluding at the end of the year will also be a headwind. If the Bank felt it did need to provide further support to recovery, then it is likely that the tool of choice would be more QE. </w:t>
      </w:r>
    </w:p>
    <w:p w14:paraId="752EFD4E" w14:textId="77777777" w:rsidR="00AC09DB" w:rsidRPr="00CA349E" w:rsidRDefault="00AC09DB" w:rsidP="00954E7F">
      <w:pPr>
        <w:pStyle w:val="ListParagraph"/>
        <w:numPr>
          <w:ilvl w:val="0"/>
          <w:numId w:val="0"/>
        </w:numPr>
        <w:ind w:left="426"/>
      </w:pPr>
    </w:p>
    <w:p w14:paraId="54E60858" w14:textId="77777777" w:rsidR="00CA349E" w:rsidRDefault="00CA349E" w:rsidP="00CA349E">
      <w:r w:rsidRPr="00E8024D">
        <w:rPr>
          <w:b/>
        </w:rPr>
        <w:t>Interest and Interest Rate Forecasts</w:t>
      </w:r>
    </w:p>
    <w:p w14:paraId="310D432F" w14:textId="41582B69" w:rsidR="00C5589F" w:rsidRPr="00C5589F" w:rsidRDefault="00C5589F" w:rsidP="00C5589F">
      <w:pPr>
        <w:rPr>
          <w:rFonts w:eastAsia="Arial"/>
          <w:color w:val="0D0D0D" w:themeColor="text1" w:themeTint="F2"/>
          <w:sz w:val="20"/>
          <w:szCs w:val="22"/>
          <w:lang w:eastAsia="en-US"/>
        </w:rPr>
      </w:pPr>
      <w:r w:rsidRPr="00C5589F">
        <w:rPr>
          <w:rFonts w:eastAsia="Arial"/>
          <w:color w:val="0D0D0D" w:themeColor="text1" w:themeTint="F2"/>
          <w:sz w:val="20"/>
          <w:szCs w:val="22"/>
          <w:lang w:val="en-AU" w:eastAsia="en-US"/>
        </w:rPr>
        <w:t xml:space="preserve"> </w:t>
      </w:r>
    </w:p>
    <w:p w14:paraId="17DAFE40" w14:textId="6E8629BE" w:rsidR="00CA349E" w:rsidRDefault="00AC09DB" w:rsidP="00AC09DB">
      <w:pPr>
        <w:pStyle w:val="ListParagraph"/>
      </w:pPr>
      <w:r w:rsidRPr="00AC09DB">
        <w:t>The Council’s treasury advisor, Link Group, provided the following forecasts (PWLB rates are certainty rates, gilt yields plus 180bps):</w:t>
      </w:r>
    </w:p>
    <w:p w14:paraId="5A15CA62" w14:textId="77777777" w:rsidR="006D216D" w:rsidRDefault="006D216D" w:rsidP="00954E7F">
      <w:pPr>
        <w:pStyle w:val="ListParagraph"/>
        <w:numPr>
          <w:ilvl w:val="0"/>
          <w:numId w:val="0"/>
        </w:numPr>
        <w:ind w:left="426"/>
      </w:pPr>
    </w:p>
    <w:p w14:paraId="2B5BE541" w14:textId="1C1B742A" w:rsidR="003F0B79" w:rsidRDefault="006D216D" w:rsidP="00281815">
      <w:r>
        <w:rPr>
          <w:noProof/>
        </w:rPr>
        <w:lastRenderedPageBreak/>
        <w:drawing>
          <wp:inline distT="0" distB="0" distL="0" distR="0" wp14:anchorId="6741FCEE" wp14:editId="671BD23C">
            <wp:extent cx="5904230" cy="1809094"/>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7534" cy="1816234"/>
                    </a:xfrm>
                    <a:prstGeom prst="rect">
                      <a:avLst/>
                    </a:prstGeom>
                    <a:noFill/>
                  </pic:spPr>
                </pic:pic>
              </a:graphicData>
            </a:graphic>
          </wp:inline>
        </w:drawing>
      </w:r>
    </w:p>
    <w:p w14:paraId="6B7F2817" w14:textId="4887208A" w:rsidR="006B2577" w:rsidRPr="006B2577" w:rsidRDefault="006B2577" w:rsidP="006B2577">
      <w:pPr>
        <w:jc w:val="both"/>
        <w:rPr>
          <w:rFonts w:eastAsia="Arial"/>
          <w:color w:val="0D0D0D" w:themeColor="text1" w:themeTint="F2"/>
          <w:sz w:val="20"/>
          <w:szCs w:val="22"/>
          <w:lang w:eastAsia="en-US"/>
        </w:rPr>
      </w:pPr>
    </w:p>
    <w:p w14:paraId="3EB4BC79" w14:textId="2A734F55" w:rsidR="006D216D" w:rsidRDefault="006D216D" w:rsidP="00117C98">
      <w:pPr>
        <w:pStyle w:val="ListParagraph"/>
      </w:pPr>
      <w:r w:rsidRPr="006D216D">
        <w:t xml:space="preserve">The coronavirus outbreak has done huge economic damage to the UK and economies around the world. After the Bank of England took emergency action in March to cut Bank Rate </w:t>
      </w:r>
      <w:r w:rsidR="00117C98" w:rsidRPr="00117C98">
        <w:rPr>
          <w:bCs/>
        </w:rPr>
        <w:t>from 0.75% to 0.25% on 11th March 2020 and then subsequently to 0.10% on 19th March 2020</w:t>
      </w:r>
      <w:r w:rsidRPr="006D216D">
        <w:t xml:space="preserve">, it left </w:t>
      </w:r>
      <w:r w:rsidR="00BD77AA">
        <w:t xml:space="preserve">the </w:t>
      </w:r>
      <w:r w:rsidRPr="006D216D">
        <w:t xml:space="preserve">Bank Rate unchanged at its meeting on 6th August and </w:t>
      </w:r>
      <w:r w:rsidR="00117C98" w:rsidRPr="00117C98">
        <w:t>subsequently 16th September</w:t>
      </w:r>
      <w:r w:rsidRPr="006D216D">
        <w:t xml:space="preserve">. </w:t>
      </w:r>
      <w:r w:rsidR="00117C98" w:rsidRPr="00117C98">
        <w:t>It also indicated that there would not be any use of negative interest rates in, at least, the next six months while the Bank carries out research work with high street banks on the potential impact on them of negative rates.  It suggested that while negative rates can work in some circumstances, it would be “less effective as a tool to stimulate the economy” at this time when banks are worried about future loan losses. It also stated that it has “other instruments available”, including QE and the use of forward guidance.</w:t>
      </w:r>
      <w:r w:rsidR="00117C98">
        <w:t xml:space="preserve">  </w:t>
      </w:r>
      <w:r w:rsidRPr="006D216D">
        <w:t>As shown in the forecast table above, no increase in Bank Rate is expected within the forecast horizon ending on 31st March 2023 as economic recovery is expected to be only gradual and, therefore, prolonged</w:t>
      </w:r>
      <w:r>
        <w:t>.</w:t>
      </w:r>
    </w:p>
    <w:p w14:paraId="5CAFBA55" w14:textId="0216078F" w:rsidR="006D216D" w:rsidRDefault="006D216D" w:rsidP="006D216D">
      <w:pPr>
        <w:pStyle w:val="ListParagraph"/>
        <w:rPr>
          <w:bCs/>
        </w:rPr>
      </w:pPr>
      <w:r w:rsidRPr="006D216D">
        <w:rPr>
          <w:bCs/>
        </w:rPr>
        <w:t xml:space="preserve">From the local authority borrowing perspective, HM Treasury imposed two changes of margins over gilt yields for PWLB rates in 2019-20 without any prior warning. The first took place on 9th October 2019, adding an additional 1% margin over gilts to all </w:t>
      </w:r>
      <w:r w:rsidR="00BD77AA">
        <w:rPr>
          <w:bCs/>
        </w:rPr>
        <w:t>Public Works Loans Board (</w:t>
      </w:r>
      <w:r w:rsidRPr="006D216D">
        <w:rPr>
          <w:bCs/>
        </w:rPr>
        <w:t>PWLB</w:t>
      </w:r>
      <w:r w:rsidR="00BD77AA">
        <w:rPr>
          <w:bCs/>
        </w:rPr>
        <w:t>)</w:t>
      </w:r>
      <w:r w:rsidRPr="006D216D">
        <w:rPr>
          <w:bCs/>
        </w:rPr>
        <w:t xml:space="preserve"> period rates.  That increase was then at least partially reversed for some forms of borrowing on 11th March 2020, but not for mainstream General Fund capital schemes, at the same time as the Government announced in the Budget a programme of increased infrastructure expenditure. It also announced that there would be a consultation with local authorities on possibly further amending these margins; this was to end on 4th June, but that date was subsequently put back to 31st July</w:t>
      </w:r>
      <w:r w:rsidR="00BD77AA">
        <w:rPr>
          <w:bCs/>
        </w:rPr>
        <w:t xml:space="preserve"> 2020</w:t>
      </w:r>
      <w:r w:rsidRPr="006D216D">
        <w:rPr>
          <w:bCs/>
        </w:rPr>
        <w:t xml:space="preserve">. It </w:t>
      </w:r>
      <w:r w:rsidR="00117C98">
        <w:rPr>
          <w:bCs/>
        </w:rPr>
        <w:t>seems</w:t>
      </w:r>
      <w:r w:rsidR="00117C98" w:rsidRPr="006D216D">
        <w:rPr>
          <w:bCs/>
        </w:rPr>
        <w:t xml:space="preserve"> </w:t>
      </w:r>
      <w:r w:rsidRPr="006D216D">
        <w:rPr>
          <w:bCs/>
        </w:rPr>
        <w:t xml:space="preserve">clear </w:t>
      </w:r>
      <w:r w:rsidR="00117C98">
        <w:rPr>
          <w:bCs/>
        </w:rPr>
        <w:t xml:space="preserve">that </w:t>
      </w:r>
      <w:r w:rsidRPr="006D216D">
        <w:rPr>
          <w:bCs/>
        </w:rPr>
        <w:t>HM Treasury will no longer allow local authorities to borrow money from the PWLB to purchase commercial property if the aim is solely to generate an income stream (assets for yield).</w:t>
      </w:r>
    </w:p>
    <w:p w14:paraId="2E3B8F98" w14:textId="77777777" w:rsidR="006D216D" w:rsidRPr="006D216D" w:rsidRDefault="006D216D" w:rsidP="006D216D">
      <w:pPr>
        <w:pStyle w:val="ListParagraph"/>
        <w:rPr>
          <w:bCs/>
        </w:rPr>
      </w:pPr>
      <w:r w:rsidRPr="006D216D">
        <w:rPr>
          <w:bCs/>
        </w:rPr>
        <w:t xml:space="preserve">Following the changes on 11th March 2020 in margins over gilt yields, the current situation is as follows: - </w:t>
      </w:r>
    </w:p>
    <w:p w14:paraId="3E0085F9" w14:textId="77777777" w:rsidR="006D216D" w:rsidRPr="006D216D" w:rsidRDefault="006D216D" w:rsidP="00954E7F">
      <w:pPr>
        <w:pStyle w:val="ListParagraph"/>
        <w:numPr>
          <w:ilvl w:val="0"/>
          <w:numId w:val="50"/>
        </w:numPr>
        <w:ind w:left="851"/>
        <w:rPr>
          <w:bCs/>
        </w:rPr>
      </w:pPr>
      <w:r w:rsidRPr="006D216D">
        <w:rPr>
          <w:bCs/>
        </w:rPr>
        <w:t>PWLB Standard Rate is gilt plus 200 basis points (G+200bps)</w:t>
      </w:r>
    </w:p>
    <w:p w14:paraId="35206D6F" w14:textId="77777777" w:rsidR="006D216D" w:rsidRPr="006D216D" w:rsidRDefault="006D216D" w:rsidP="00954E7F">
      <w:pPr>
        <w:pStyle w:val="ListParagraph"/>
        <w:numPr>
          <w:ilvl w:val="0"/>
          <w:numId w:val="50"/>
        </w:numPr>
        <w:ind w:left="851"/>
        <w:rPr>
          <w:bCs/>
        </w:rPr>
      </w:pPr>
      <w:r w:rsidRPr="006D216D">
        <w:rPr>
          <w:bCs/>
        </w:rPr>
        <w:t>PWLB Certainty Rate is gilt plus 180 basis points (G+180bps)</w:t>
      </w:r>
    </w:p>
    <w:p w14:paraId="38131C35" w14:textId="77777777" w:rsidR="006D216D" w:rsidRPr="006D216D" w:rsidRDefault="006D216D" w:rsidP="00954E7F">
      <w:pPr>
        <w:pStyle w:val="ListParagraph"/>
        <w:numPr>
          <w:ilvl w:val="0"/>
          <w:numId w:val="50"/>
        </w:numPr>
        <w:ind w:left="851"/>
        <w:rPr>
          <w:bCs/>
        </w:rPr>
      </w:pPr>
      <w:r w:rsidRPr="006D216D">
        <w:rPr>
          <w:bCs/>
        </w:rPr>
        <w:t>PWLB HRA Standard Rate is gilt plus 100 basis points (G+100bps)</w:t>
      </w:r>
    </w:p>
    <w:p w14:paraId="502DF1C6" w14:textId="77777777" w:rsidR="006D216D" w:rsidRPr="006D216D" w:rsidRDefault="006D216D" w:rsidP="00954E7F">
      <w:pPr>
        <w:pStyle w:val="ListParagraph"/>
        <w:numPr>
          <w:ilvl w:val="0"/>
          <w:numId w:val="50"/>
        </w:numPr>
        <w:ind w:left="851"/>
        <w:rPr>
          <w:bCs/>
        </w:rPr>
      </w:pPr>
      <w:r w:rsidRPr="006D216D">
        <w:rPr>
          <w:bCs/>
        </w:rPr>
        <w:t>PWLB HRA Certainty Rate is gilt plus 80bps (G+80bps)</w:t>
      </w:r>
    </w:p>
    <w:p w14:paraId="0DA10E93" w14:textId="77777777" w:rsidR="006D216D" w:rsidRPr="006D216D" w:rsidRDefault="006D216D" w:rsidP="00954E7F">
      <w:pPr>
        <w:pStyle w:val="ListParagraph"/>
        <w:numPr>
          <w:ilvl w:val="0"/>
          <w:numId w:val="50"/>
        </w:numPr>
        <w:ind w:left="851"/>
        <w:rPr>
          <w:bCs/>
        </w:rPr>
      </w:pPr>
      <w:r w:rsidRPr="006D216D">
        <w:rPr>
          <w:bCs/>
        </w:rPr>
        <w:t>Local Infrastructure Rate is gilt plus 60bps (G+60bps)</w:t>
      </w:r>
    </w:p>
    <w:p w14:paraId="76B8E87A" w14:textId="77777777" w:rsidR="006D216D" w:rsidRPr="006D216D" w:rsidRDefault="006D216D" w:rsidP="00954E7F">
      <w:pPr>
        <w:pStyle w:val="ListParagraph"/>
        <w:numPr>
          <w:ilvl w:val="0"/>
          <w:numId w:val="0"/>
        </w:numPr>
        <w:ind w:left="426"/>
        <w:rPr>
          <w:bCs/>
        </w:rPr>
      </w:pPr>
      <w:r w:rsidRPr="006D216D">
        <w:rPr>
          <w:bCs/>
        </w:rPr>
        <w:lastRenderedPageBreak/>
        <w:t>It is possible that the non-HRA Certainty Rate will be subject to revision downwards after the conclusion of the PWLB consultation; however, the timing of such a change is currently an unknown, although it would be likely to be within the current financial year.</w:t>
      </w:r>
    </w:p>
    <w:p w14:paraId="3891EFAA" w14:textId="4A352A08" w:rsidR="000F1A5B" w:rsidRDefault="006D216D" w:rsidP="006D216D">
      <w:pPr>
        <w:pStyle w:val="ListParagraph"/>
        <w:rPr>
          <w:bCs/>
        </w:rPr>
      </w:pPr>
      <w:r w:rsidRPr="006D216D">
        <w:rPr>
          <w:bCs/>
        </w:rPr>
        <w:t xml:space="preserve">As the interest forecast table for PWLB certainty rates, (gilts plus 180bps), above shows, there is likely to be little upward movement in PWLB rates over the next two years as it will take economies, including the UK, a prolonged period to recover all the momentum they have lost in the sharp recession caused during the coronavirus shut down period. Inflation is also likely to be very low during this period and could even turn negative in some major western economies during 2020/21. </w:t>
      </w:r>
      <w:r w:rsidR="006D055A">
        <w:rPr>
          <w:bCs/>
        </w:rPr>
        <w:t>,</w:t>
      </w:r>
      <w:r w:rsidR="000F1A5B" w:rsidRPr="000F1A5B">
        <w:rPr>
          <w:bCs/>
        </w:rPr>
        <w:t xml:space="preserve">  </w:t>
      </w:r>
    </w:p>
    <w:p w14:paraId="27E8E49D" w14:textId="77777777" w:rsidR="006D216D" w:rsidRPr="001356F1" w:rsidRDefault="006D216D" w:rsidP="006D216D">
      <w:pPr>
        <w:pStyle w:val="Heading1"/>
      </w:pPr>
      <w:r w:rsidRPr="003F5940">
        <w:t>Investment Portfolio and Performance</w:t>
      </w:r>
    </w:p>
    <w:p w14:paraId="6491B31E" w14:textId="6B7F7642" w:rsidR="006D216D" w:rsidRDefault="006D216D" w:rsidP="006D216D">
      <w:pPr>
        <w:pStyle w:val="ListParagraph"/>
        <w:rPr>
          <w:bCs/>
        </w:rPr>
      </w:pPr>
      <w:r w:rsidRPr="006D216D">
        <w:rPr>
          <w:bCs/>
        </w:rPr>
        <w:t>The budgeted investment income for 2020/21 is £</w:t>
      </w:r>
      <w:r w:rsidR="005D5B75">
        <w:rPr>
          <w:bCs/>
        </w:rPr>
        <w:t>1</w:t>
      </w:r>
      <w:r w:rsidRPr="006D216D">
        <w:rPr>
          <w:bCs/>
        </w:rPr>
        <w:t>.</w:t>
      </w:r>
      <w:r w:rsidR="005D5B75">
        <w:rPr>
          <w:bCs/>
        </w:rPr>
        <w:t>223</w:t>
      </w:r>
      <w:r w:rsidRPr="006D216D">
        <w:rPr>
          <w:bCs/>
        </w:rPr>
        <w:t xml:space="preserve"> million. As at the 30th September 2020, forecast investment income for </w:t>
      </w:r>
      <w:r w:rsidR="005D5B75" w:rsidRPr="005D5B75">
        <w:rPr>
          <w:bCs/>
        </w:rPr>
        <w:t>20</w:t>
      </w:r>
      <w:r w:rsidR="005D5B75">
        <w:rPr>
          <w:bCs/>
        </w:rPr>
        <w:t>20</w:t>
      </w:r>
      <w:r w:rsidRPr="005D5B75">
        <w:rPr>
          <w:bCs/>
        </w:rPr>
        <w:t>/2</w:t>
      </w:r>
      <w:r w:rsidR="005D5B75">
        <w:rPr>
          <w:bCs/>
        </w:rPr>
        <w:t>1</w:t>
      </w:r>
      <w:r w:rsidRPr="005D5B75">
        <w:rPr>
          <w:bCs/>
        </w:rPr>
        <w:t xml:space="preserve"> is £1.044m</w:t>
      </w:r>
      <w:r w:rsidRPr="006D216D">
        <w:rPr>
          <w:bCs/>
        </w:rPr>
        <w:t>. Many o</w:t>
      </w:r>
      <w:r w:rsidR="00BD77AA">
        <w:rPr>
          <w:bCs/>
        </w:rPr>
        <w:t>f</w:t>
      </w:r>
      <w:r w:rsidRPr="006D216D">
        <w:rPr>
          <w:bCs/>
        </w:rPr>
        <w:t xml:space="preserve"> </w:t>
      </w:r>
      <w:r w:rsidR="00BD77AA">
        <w:rPr>
          <w:bCs/>
        </w:rPr>
        <w:t>the Council’s</w:t>
      </w:r>
      <w:r w:rsidRPr="006D216D">
        <w:rPr>
          <w:bCs/>
        </w:rPr>
        <w:t xml:space="preserve"> current investments were </w:t>
      </w:r>
      <w:r w:rsidR="00BD77AA">
        <w:rPr>
          <w:bCs/>
        </w:rPr>
        <w:t>placed</w:t>
      </w:r>
      <w:r w:rsidR="00BD77AA" w:rsidRPr="006D216D">
        <w:rPr>
          <w:bCs/>
        </w:rPr>
        <w:t xml:space="preserve"> </w:t>
      </w:r>
      <w:r w:rsidRPr="006D216D">
        <w:rPr>
          <w:bCs/>
        </w:rPr>
        <w:t>at higher levels of interest before the Base rate was reduced in March</w:t>
      </w:r>
      <w:r w:rsidR="00BD77AA">
        <w:rPr>
          <w:bCs/>
        </w:rPr>
        <w:t xml:space="preserve"> 2020</w:t>
      </w:r>
      <w:r w:rsidRPr="006D216D">
        <w:rPr>
          <w:bCs/>
        </w:rPr>
        <w:t xml:space="preserve">, </w:t>
      </w:r>
      <w:r w:rsidR="00BD77AA">
        <w:rPr>
          <w:bCs/>
        </w:rPr>
        <w:t>the Council has</w:t>
      </w:r>
      <w:r w:rsidRPr="006D216D">
        <w:rPr>
          <w:bCs/>
        </w:rPr>
        <w:t xml:space="preserve"> also taken advantage of better rates where possible</w:t>
      </w:r>
    </w:p>
    <w:p w14:paraId="51A42E17" w14:textId="18675032" w:rsidR="00473FE9" w:rsidRPr="00473FE9" w:rsidRDefault="00473FE9" w:rsidP="00473FE9">
      <w:pPr>
        <w:pStyle w:val="ListParagraph"/>
        <w:rPr>
          <w:bCs/>
        </w:rPr>
      </w:pPr>
      <w:r w:rsidRPr="00473FE9">
        <w:rPr>
          <w:bCs/>
        </w:rPr>
        <w:t>The Treasury Management Strategy for 20</w:t>
      </w:r>
      <w:r w:rsidR="006B2577">
        <w:rPr>
          <w:bCs/>
        </w:rPr>
        <w:t>20</w:t>
      </w:r>
      <w:r w:rsidRPr="00473FE9">
        <w:rPr>
          <w:bCs/>
        </w:rPr>
        <w:t>/</w:t>
      </w:r>
      <w:r w:rsidR="006B2577">
        <w:rPr>
          <w:bCs/>
        </w:rPr>
        <w:t>21</w:t>
      </w:r>
      <w:r w:rsidRPr="00473FE9">
        <w:rPr>
          <w:bCs/>
        </w:rPr>
        <w:t xml:space="preserve"> was approved by this Council in February 20</w:t>
      </w:r>
      <w:r w:rsidR="006B2577">
        <w:rPr>
          <w:bCs/>
        </w:rPr>
        <w:t>20</w:t>
      </w:r>
      <w:r w:rsidRPr="00473FE9">
        <w:rPr>
          <w:bCs/>
        </w:rPr>
        <w:t>; to date the Strategy has been fully adhered to</w:t>
      </w:r>
      <w:r w:rsidR="00CA76EF">
        <w:rPr>
          <w:bCs/>
        </w:rPr>
        <w:t xml:space="preserve">.  </w:t>
      </w:r>
    </w:p>
    <w:p w14:paraId="22890053" w14:textId="77777777"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7CDE2D11" w14:textId="77777777" w:rsid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r w:rsidR="00D6630A">
        <w:rPr>
          <w:bCs/>
        </w:rPr>
        <w:t xml:space="preserve"> </w:t>
      </w:r>
    </w:p>
    <w:p w14:paraId="7273D8DD" w14:textId="77777777" w:rsidR="00D6630A" w:rsidRPr="00473FE9" w:rsidRDefault="00D6630A" w:rsidP="00473FE9">
      <w:pPr>
        <w:pStyle w:val="ListParagraph"/>
        <w:rPr>
          <w:bCs/>
        </w:rPr>
      </w:pPr>
      <w:r>
        <w:rPr>
          <w:bCs/>
        </w:rPr>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1538181" w14:textId="77777777" w:rsidR="00473FE9" w:rsidRPr="00473FE9" w:rsidRDefault="00473FE9" w:rsidP="00473FE9">
      <w:pPr>
        <w:pStyle w:val="ListParagraph"/>
        <w:rPr>
          <w:bCs/>
        </w:rPr>
      </w:pPr>
      <w:r w:rsidRPr="00473FE9">
        <w:rPr>
          <w:bCs/>
        </w:rPr>
        <w:t>The strategy also adopts an ethical approach to investments, stating that:</w:t>
      </w:r>
    </w:p>
    <w:p w14:paraId="5B9C2F5E"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11D20C8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42368528"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09F36A2" w14:textId="77777777"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14:paraId="36FFBC4B" w14:textId="77777777" w:rsidR="00473FE9" w:rsidRPr="00473FE9" w:rsidRDefault="00473FE9" w:rsidP="00473FE9">
      <w:pPr>
        <w:pStyle w:val="ListParagraph"/>
      </w:pPr>
      <w:r w:rsidRPr="00473FE9">
        <w:t>The Council has been able to take advantage of some</w:t>
      </w:r>
      <w:r w:rsidR="00D57A34">
        <w:t xml:space="preserve"> further</w:t>
      </w:r>
      <w:r w:rsidRPr="00473FE9">
        <w:t xml:space="preserve"> green deposit notice accounts offered by Barclays Bank who are working in association with </w:t>
      </w:r>
      <w:proofErr w:type="spellStart"/>
      <w:r w:rsidRPr="00473FE9">
        <w:lastRenderedPageBreak/>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14:paraId="0BE7621D" w14:textId="77777777" w:rsidR="00473FE9" w:rsidRPr="00473FE9" w:rsidRDefault="00473FE9" w:rsidP="00157606">
      <w:pPr>
        <w:pStyle w:val="ListParagraph"/>
        <w:numPr>
          <w:ilvl w:val="0"/>
          <w:numId w:val="41"/>
        </w:numPr>
      </w:pPr>
      <w:r w:rsidRPr="00473FE9">
        <w:t>Energy efficiency projects and renewable energy</w:t>
      </w:r>
    </w:p>
    <w:p w14:paraId="46ABB658" w14:textId="77777777" w:rsidR="00473FE9" w:rsidRPr="00473FE9" w:rsidRDefault="00473FE9" w:rsidP="00157606">
      <w:pPr>
        <w:pStyle w:val="ListParagraph"/>
        <w:numPr>
          <w:ilvl w:val="0"/>
          <w:numId w:val="41"/>
        </w:numPr>
      </w:pPr>
      <w:r w:rsidRPr="00473FE9">
        <w:t>Sustainable food agriculture and forestry</w:t>
      </w:r>
    </w:p>
    <w:p w14:paraId="447F3692" w14:textId="77777777" w:rsidR="00473FE9" w:rsidRPr="00473FE9" w:rsidRDefault="00473FE9" w:rsidP="00157606">
      <w:pPr>
        <w:pStyle w:val="ListParagraph"/>
        <w:numPr>
          <w:ilvl w:val="0"/>
          <w:numId w:val="41"/>
        </w:numPr>
      </w:pPr>
      <w:r w:rsidRPr="00473FE9">
        <w:t>Waste management</w:t>
      </w:r>
    </w:p>
    <w:p w14:paraId="5F5D4864" w14:textId="77777777" w:rsidR="00473FE9" w:rsidRPr="00473FE9" w:rsidRDefault="00473FE9" w:rsidP="00157606">
      <w:pPr>
        <w:pStyle w:val="ListParagraph"/>
        <w:numPr>
          <w:ilvl w:val="0"/>
          <w:numId w:val="41"/>
        </w:numPr>
      </w:pPr>
      <w:r w:rsidRPr="00473FE9">
        <w:t>Greenhouse gas emission reduction</w:t>
      </w:r>
    </w:p>
    <w:p w14:paraId="18AF1DDD" w14:textId="77777777" w:rsidR="00473FE9" w:rsidRPr="00473FE9" w:rsidRDefault="00473FE9" w:rsidP="00157606">
      <w:pPr>
        <w:pStyle w:val="ListParagraph"/>
        <w:numPr>
          <w:ilvl w:val="0"/>
          <w:numId w:val="41"/>
        </w:numPr>
      </w:pPr>
      <w:r w:rsidRPr="00473FE9">
        <w:t>Sustainable water</w:t>
      </w:r>
    </w:p>
    <w:p w14:paraId="11197297" w14:textId="77777777" w:rsidR="00CA0AD6" w:rsidRPr="00CA0AD6" w:rsidRDefault="00CA0AD6" w:rsidP="00473FE9">
      <w:pPr>
        <w:pStyle w:val="ListParagraph"/>
      </w:pPr>
      <w:r w:rsidRPr="00CA0AD6">
        <w:t>The Council currently has £7.5 million in these accounts.</w:t>
      </w:r>
    </w:p>
    <w:p w14:paraId="184DD364" w14:textId="4E7C57AB" w:rsidR="00157606" w:rsidRPr="001356F1" w:rsidRDefault="006D216D" w:rsidP="00157606">
      <w:pPr>
        <w:pStyle w:val="Heading1"/>
      </w:pPr>
      <w:r>
        <w:t>Pooled Investment</w:t>
      </w:r>
      <w:r w:rsidRPr="00157606">
        <w:t xml:space="preserve"> </w:t>
      </w:r>
      <w:r w:rsidR="00157606" w:rsidRPr="00157606">
        <w:t>Funds</w:t>
      </w:r>
    </w:p>
    <w:p w14:paraId="10675492" w14:textId="77777777" w:rsidR="00DE0E5D" w:rsidRDefault="00157606" w:rsidP="00DE0E5D">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r w:rsidR="00491176" w:rsidRPr="00491176">
        <w:t>Due to the Covid</w:t>
      </w:r>
      <w:r w:rsidR="00491176">
        <w:t>-19</w:t>
      </w:r>
      <w:r w:rsidR="00491176" w:rsidRPr="00491176">
        <w:t xml:space="preserve"> pandemic</w:t>
      </w:r>
      <w:r w:rsidR="00491176">
        <w:t>,</w:t>
      </w:r>
      <w:r w:rsidR="00491176" w:rsidRPr="00491176">
        <w:t xml:space="preserve"> property prices have a lot of uncertainty about them and capital values have fallen. However</w:t>
      </w:r>
      <w:r w:rsidR="00491176">
        <w:t>,</w:t>
      </w:r>
      <w:r w:rsidR="00491176" w:rsidRPr="00491176">
        <w:t xml:space="preserve"> both our respective fund managers have reassured us that their investments are well placed to recover and over the longer term capital values will pick up. In the short </w:t>
      </w:r>
      <w:r w:rsidR="00491176">
        <w:t xml:space="preserve">term </w:t>
      </w:r>
      <w:r w:rsidR="00491176" w:rsidRPr="00491176">
        <w:t>Dividends are still bein</w:t>
      </w:r>
      <w:r w:rsidR="00491176">
        <w:t>g paid at similar levels to pre-</w:t>
      </w:r>
      <w:proofErr w:type="spellStart"/>
      <w:r w:rsidR="00491176">
        <w:t>C</w:t>
      </w:r>
      <w:r w:rsidR="00491176" w:rsidRPr="00491176">
        <w:t>ovid</w:t>
      </w:r>
      <w:proofErr w:type="spellEnd"/>
      <w:r w:rsidR="00491176" w:rsidRPr="00491176">
        <w:t xml:space="preserve"> times and are still giving us a </w:t>
      </w:r>
      <w:r w:rsidR="00491176">
        <w:t>goo</w:t>
      </w:r>
      <w:r w:rsidR="00491176" w:rsidRPr="00491176">
        <w:t>d return on our investments</w:t>
      </w:r>
      <w:r w:rsidR="00491176">
        <w:t>.</w:t>
      </w:r>
      <w:r w:rsidR="00DE0E5D">
        <w:t xml:space="preserve">  Both property funds have reduced their retail holdings which de-risks the capital value they hold.</w:t>
      </w:r>
    </w:p>
    <w:p w14:paraId="0618F9E4" w14:textId="77777777" w:rsidR="00157606" w:rsidRPr="00157606" w:rsidRDefault="00157606" w:rsidP="00157606">
      <w:pPr>
        <w:rPr>
          <w:b/>
        </w:rPr>
      </w:pPr>
      <w:r w:rsidRPr="00157606">
        <w:rPr>
          <w:b/>
        </w:rPr>
        <w:t>CCLA Investment Management Limited</w:t>
      </w:r>
    </w:p>
    <w:p w14:paraId="07376464" w14:textId="77777777"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14:paraId="73130B85" w14:textId="0413C680" w:rsidR="00157606" w:rsidRDefault="00157606" w:rsidP="00157606">
      <w:pPr>
        <w:pStyle w:val="ListParagraph"/>
      </w:pPr>
      <w:r>
        <w:t xml:space="preserve">Additionally, the value of the Council’s investment with CCLA has appreciated from </w:t>
      </w:r>
      <w:r w:rsidRPr="00CA0AD6">
        <w:t>£3m to £3.</w:t>
      </w:r>
      <w:r w:rsidR="00816F0E">
        <w:t>6</w:t>
      </w:r>
      <w:r w:rsidRPr="00CA0AD6">
        <w:t>m as at 30th September 20</w:t>
      </w:r>
      <w:r w:rsidR="00816F0E">
        <w:t>20</w:t>
      </w:r>
      <w:r w:rsidRPr="00CA0AD6">
        <w:t xml:space="preserve">, equating to growth of </w:t>
      </w:r>
      <w:r w:rsidR="00C54169" w:rsidRPr="00506B9D">
        <w:t>2</w:t>
      </w:r>
      <w:r w:rsidR="00334841">
        <w:t>0.33</w:t>
      </w:r>
      <w:r w:rsidRPr="00CA0AD6">
        <w:t>% to</w:t>
      </w:r>
      <w:r>
        <w:t xml:space="preserve"> date</w:t>
      </w:r>
      <w:r w:rsidR="00334841">
        <w:t xml:space="preserve"> from inception</w:t>
      </w:r>
      <w:r>
        <w:t>. However, the values of the individual unit prices have fluctuated over time and the effect of capital appreciation (and depreciation) is illustrated in the graph below.</w:t>
      </w:r>
      <w:r w:rsidR="007065AB">
        <w:t xml:space="preserve"> There has been pressure on the overall property value but the dividend is being maintained and prices are always going to fluctuate over time. This is seen as a long term investment.</w:t>
      </w:r>
    </w:p>
    <w:p w14:paraId="155F0C9C" w14:textId="0709FF9B" w:rsidR="00152C25" w:rsidRDefault="00152C25" w:rsidP="00157606">
      <w:pPr>
        <w:pStyle w:val="ListParagraph"/>
        <w:numPr>
          <w:ilvl w:val="0"/>
          <w:numId w:val="0"/>
        </w:numPr>
        <w:ind w:left="426"/>
      </w:pPr>
    </w:p>
    <w:p w14:paraId="76F5C6D7" w14:textId="52573DEB" w:rsidR="00EF35DE" w:rsidRDefault="00EF35DE" w:rsidP="00157606">
      <w:pPr>
        <w:pStyle w:val="ListParagraph"/>
        <w:numPr>
          <w:ilvl w:val="0"/>
          <w:numId w:val="0"/>
        </w:numPr>
        <w:ind w:left="426"/>
      </w:pPr>
      <w:r w:rsidRPr="00EF35DE">
        <w:rPr>
          <w:noProof/>
        </w:rPr>
        <w:lastRenderedPageBreak/>
        <w:drawing>
          <wp:inline distT="0" distB="0" distL="0" distR="0" wp14:anchorId="77EF3EED" wp14:editId="4CA9F8EC">
            <wp:extent cx="5904230" cy="38296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3829685"/>
                    </a:xfrm>
                    <a:prstGeom prst="rect">
                      <a:avLst/>
                    </a:prstGeom>
                  </pic:spPr>
                </pic:pic>
              </a:graphicData>
            </a:graphic>
          </wp:inline>
        </w:drawing>
      </w:r>
    </w:p>
    <w:p w14:paraId="74983A6D" w14:textId="77777777" w:rsidR="00157606" w:rsidRDefault="00157606" w:rsidP="00157606">
      <w:pPr>
        <w:pStyle w:val="ListParagraph"/>
        <w:numPr>
          <w:ilvl w:val="0"/>
          <w:numId w:val="0"/>
        </w:numPr>
        <w:ind w:left="426"/>
      </w:pPr>
    </w:p>
    <w:p w14:paraId="0F066362" w14:textId="77777777" w:rsidR="00157606" w:rsidRDefault="00157606" w:rsidP="00157606">
      <w:pPr>
        <w:pStyle w:val="ListParagraph"/>
      </w:pPr>
      <w:r w:rsidRPr="00157606">
        <w:t xml:space="preserve">Changes to the accounting rules on property funds means that the principal gain or loss will now be charged to the Surplus or Deficit on the Provision of Services, </w:t>
      </w:r>
      <w:r w:rsidR="00970E3B">
        <w:t xml:space="preserve">within the Councils Income and Expenditure Account, </w:t>
      </w:r>
      <w:r w:rsidRPr="00157606">
        <w:t>rather than being held on the balance sheet.  However, following consultation by MHCLG the government has introduced a mandatory statutory override for local authorities to reverse out the effect for five years from 1st April 2018</w:t>
      </w:r>
      <w:r w:rsidR="00970E3B">
        <w:t xml:space="preserve"> after which surpluses as well as deficit will impact on the Councils revenue position</w:t>
      </w:r>
      <w:r>
        <w:t>.</w:t>
      </w:r>
      <w:r w:rsidR="008060AA">
        <w:t xml:space="preserve">  Even without the statutory override, the Council would have created a reserve to hold the funds until the return was realised due to the potential for fluctuations in the property markets.</w:t>
      </w:r>
    </w:p>
    <w:p w14:paraId="031F5CC7" w14:textId="77777777" w:rsidR="00C54169" w:rsidRDefault="00157606" w:rsidP="00157606">
      <w:pPr>
        <w:pStyle w:val="ListParagraph"/>
      </w:pPr>
      <w:r w:rsidRPr="00157606">
        <w:t xml:space="preserve">The </w:t>
      </w:r>
      <w:r w:rsidR="00C54169">
        <w:t xml:space="preserve">investment </w:t>
      </w:r>
      <w:r w:rsidR="00506B9D">
        <w:t xml:space="preserve">returns </w:t>
      </w:r>
      <w:r w:rsidR="00C54169">
        <w:t>around £</w:t>
      </w:r>
      <w:r w:rsidR="00C54169" w:rsidRPr="00780548">
        <w:t>40k per quarter</w:t>
      </w:r>
      <w:r w:rsidR="00C54169">
        <w:t>.</w:t>
      </w:r>
    </w:p>
    <w:p w14:paraId="09C5EEA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0960FC4C" w14:textId="7B7F724C" w:rsidR="00157606" w:rsidRPr="00506B9D"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w:t>
      </w:r>
      <w:r w:rsidR="007065AB">
        <w:t>7.</w:t>
      </w:r>
      <w:r w:rsidR="004B45EC">
        <w:t>916</w:t>
      </w:r>
      <w:r w:rsidRPr="00157606">
        <w:t xml:space="preserve">m, compared with £7m at inception, equating to overall growth of </w:t>
      </w:r>
      <w:r w:rsidR="007065AB">
        <w:t>1</w:t>
      </w:r>
      <w:r w:rsidR="00DE0E5D">
        <w:t>3</w:t>
      </w:r>
      <w:r w:rsidR="007065AB">
        <w:t>.</w:t>
      </w:r>
      <w:r w:rsidR="00DE0E5D">
        <w:t>08</w:t>
      </w:r>
      <w:r w:rsidRPr="00157606">
        <w:t xml:space="preserve">%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506B9D">
        <w:t>Lothbury</w:t>
      </w:r>
      <w:proofErr w:type="spellEnd"/>
      <w:r w:rsidRPr="00506B9D">
        <w:t xml:space="preserve"> Property Fund as explained in paragraph </w:t>
      </w:r>
      <w:r w:rsidR="00506B9D" w:rsidRPr="00506B9D">
        <w:t>2</w:t>
      </w:r>
      <w:r w:rsidR="00954E7F">
        <w:t>1</w:t>
      </w:r>
      <w:r w:rsidR="00506B9D" w:rsidRPr="00506B9D">
        <w:t xml:space="preserve"> </w:t>
      </w:r>
      <w:r w:rsidRPr="00506B9D">
        <w:t>above.</w:t>
      </w:r>
    </w:p>
    <w:p w14:paraId="68BBA69B" w14:textId="77777777" w:rsidR="00C54169" w:rsidRDefault="00C54169" w:rsidP="00157606">
      <w:pPr>
        <w:pStyle w:val="ListParagraph"/>
        <w:numPr>
          <w:ilvl w:val="0"/>
          <w:numId w:val="0"/>
        </w:numPr>
        <w:ind w:left="426"/>
      </w:pPr>
    </w:p>
    <w:p w14:paraId="72E64801" w14:textId="6350CDCF" w:rsidR="00C54169" w:rsidRDefault="00C54169" w:rsidP="00157606">
      <w:pPr>
        <w:pStyle w:val="ListParagraph"/>
        <w:numPr>
          <w:ilvl w:val="0"/>
          <w:numId w:val="0"/>
        </w:numPr>
        <w:ind w:left="426"/>
      </w:pPr>
    </w:p>
    <w:p w14:paraId="206AA7AF" w14:textId="5352BAE9" w:rsidR="004B45EC" w:rsidRDefault="004B45EC" w:rsidP="00157606">
      <w:pPr>
        <w:pStyle w:val="ListParagraph"/>
        <w:numPr>
          <w:ilvl w:val="0"/>
          <w:numId w:val="0"/>
        </w:numPr>
        <w:ind w:left="426"/>
      </w:pPr>
      <w:r w:rsidRPr="004B45EC">
        <w:rPr>
          <w:noProof/>
        </w:rPr>
        <w:lastRenderedPageBreak/>
        <w:drawing>
          <wp:inline distT="0" distB="0" distL="0" distR="0" wp14:anchorId="27D969F7" wp14:editId="036A89E0">
            <wp:extent cx="5904230" cy="38836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230" cy="3883660"/>
                    </a:xfrm>
                    <a:prstGeom prst="rect">
                      <a:avLst/>
                    </a:prstGeom>
                  </pic:spPr>
                </pic:pic>
              </a:graphicData>
            </a:graphic>
          </wp:inline>
        </w:drawing>
      </w:r>
    </w:p>
    <w:p w14:paraId="1EB12E5D" w14:textId="00A03DF8" w:rsidR="00C87552" w:rsidRDefault="00C87552" w:rsidP="00157606">
      <w:pPr>
        <w:pStyle w:val="ListParagraph"/>
        <w:numPr>
          <w:ilvl w:val="0"/>
          <w:numId w:val="0"/>
        </w:numPr>
        <w:ind w:left="426"/>
      </w:pPr>
    </w:p>
    <w:p w14:paraId="07655491" w14:textId="3AF51FF6" w:rsidR="00157606" w:rsidRDefault="00C54169" w:rsidP="00157606">
      <w:pPr>
        <w:pStyle w:val="ListParagraph"/>
        <w:numPr>
          <w:ilvl w:val="0"/>
          <w:numId w:val="0"/>
        </w:numPr>
        <w:ind w:left="426"/>
      </w:pPr>
      <w:r w:rsidRPr="00C54169">
        <w:t xml:space="preserve">The investment </w:t>
      </w:r>
      <w:r w:rsidR="00506B9D">
        <w:t>returns</w:t>
      </w:r>
      <w:r w:rsidR="00506B9D" w:rsidRPr="00C54169">
        <w:t xml:space="preserve"> </w:t>
      </w:r>
      <w:r w:rsidRPr="00C54169">
        <w:t xml:space="preserve">around </w:t>
      </w:r>
      <w:r w:rsidRPr="00780548">
        <w:t>£6</w:t>
      </w:r>
      <w:r w:rsidR="00780548" w:rsidRPr="00954E7F">
        <w:t>0</w:t>
      </w:r>
      <w:r w:rsidRPr="00954E7F">
        <w:t>k</w:t>
      </w:r>
      <w:r w:rsidRPr="00780548">
        <w:t xml:space="preserve"> per quarter</w:t>
      </w:r>
      <w:r w:rsidRPr="00C54169">
        <w:t>.</w:t>
      </w:r>
    </w:p>
    <w:p w14:paraId="79B057D9" w14:textId="77777777" w:rsidR="005805E9" w:rsidRPr="00157606" w:rsidRDefault="005805E9" w:rsidP="005805E9">
      <w:pPr>
        <w:rPr>
          <w:b/>
        </w:rPr>
      </w:pPr>
      <w:r>
        <w:rPr>
          <w:b/>
        </w:rPr>
        <w:t>Multi-Asset Fund(s)</w:t>
      </w:r>
    </w:p>
    <w:p w14:paraId="5C02D945" w14:textId="6707DA6E" w:rsidR="00157606" w:rsidRDefault="005805E9" w:rsidP="005805E9">
      <w:pPr>
        <w:pStyle w:val="ListParagraph"/>
      </w:pPr>
      <w:r w:rsidRPr="005805E9">
        <w:t xml:space="preserve">As agreed in the Treasury Strategy </w:t>
      </w:r>
      <w:r>
        <w:t>for 2020/21</w:t>
      </w:r>
      <w:r w:rsidR="008C7E71">
        <w:t>,</w:t>
      </w:r>
      <w:r>
        <w:t xml:space="preserve"> and included in the budget report for 2020/21, the Council is selecting a multi-asset fund or funds to invest an amount of £10m.  The selection process was paused due to the pandemic but has recently been </w:t>
      </w:r>
      <w:r w:rsidR="008C7E71">
        <w:t>recommenced.  The process is nearing conclusion and Council Officers will then liaise with the fund managers regarding the optimum investment point.</w:t>
      </w:r>
    </w:p>
    <w:p w14:paraId="081AF269" w14:textId="77777777" w:rsidR="005805E9" w:rsidRPr="00116900" w:rsidRDefault="005805E9" w:rsidP="005805E9">
      <w:pPr>
        <w:pStyle w:val="ListParagraph"/>
        <w:numPr>
          <w:ilvl w:val="0"/>
          <w:numId w:val="0"/>
        </w:numPr>
        <w:rPr>
          <w:b/>
        </w:rPr>
      </w:pPr>
      <w:r w:rsidRPr="00116900">
        <w:rPr>
          <w:b/>
        </w:rPr>
        <w:t>Investment Portfolio</w:t>
      </w:r>
    </w:p>
    <w:p w14:paraId="6ED073A7" w14:textId="13E8AEC7" w:rsidR="005805E9" w:rsidRDefault="005805E9" w:rsidP="005805E9">
      <w:pPr>
        <w:pStyle w:val="ListParagraph"/>
      </w:pPr>
      <w:r>
        <w:t xml:space="preserve">As </w:t>
      </w:r>
      <w:r w:rsidRPr="005805E9">
        <w:t>at 30th September</w:t>
      </w:r>
      <w:r w:rsidR="00BD77AA">
        <w:t xml:space="preserve"> 2020</w:t>
      </w:r>
      <w:r w:rsidRPr="005805E9">
        <w:t>, the Council’s total investment portfolio amounted to £103</w:t>
      </w:r>
      <w:r w:rsidR="00BD77AA">
        <w:t>.</w:t>
      </w:r>
      <w:r w:rsidRPr="005805E9">
        <w:t>4m, with £10m of this being held in property funds and £32.9m being held in instant access cash facilities with the balance being held in banks and building societies</w:t>
      </w:r>
    </w:p>
    <w:p w14:paraId="74561916" w14:textId="16498062" w:rsidR="00157606" w:rsidRDefault="00157606" w:rsidP="00157606">
      <w:pPr>
        <w:pStyle w:val="ListParagraph"/>
      </w:pPr>
      <w:r>
        <w:t xml:space="preserve">The graphs below illustrate how </w:t>
      </w:r>
      <w:r w:rsidR="00BD77AA">
        <w:t xml:space="preserve">the </w:t>
      </w:r>
      <w:r>
        <w:t>Council’s investment portfolio is distributed, both in terms of the type of investment and counterparty category:</w:t>
      </w:r>
    </w:p>
    <w:p w14:paraId="6C4F9F6D" w14:textId="1EBE66DB" w:rsidR="00B30B59" w:rsidRDefault="00B30B59" w:rsidP="00157606">
      <w:pPr>
        <w:pStyle w:val="ListParagraph"/>
        <w:numPr>
          <w:ilvl w:val="0"/>
          <w:numId w:val="0"/>
        </w:numPr>
        <w:ind w:left="426"/>
      </w:pPr>
      <w:r w:rsidRPr="00B30B59">
        <w:rPr>
          <w:noProof/>
        </w:rPr>
        <w:lastRenderedPageBreak/>
        <w:drawing>
          <wp:inline distT="0" distB="0" distL="0" distR="0" wp14:anchorId="097C8F97" wp14:editId="0AEA4513">
            <wp:extent cx="5904230" cy="369887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3698875"/>
                    </a:xfrm>
                    <a:prstGeom prst="rect">
                      <a:avLst/>
                    </a:prstGeom>
                  </pic:spPr>
                </pic:pic>
              </a:graphicData>
            </a:graphic>
          </wp:inline>
        </w:drawing>
      </w:r>
    </w:p>
    <w:p w14:paraId="34295D62" w14:textId="2177A14F" w:rsidR="00B30B59" w:rsidRDefault="00B30B59" w:rsidP="00157606">
      <w:pPr>
        <w:pStyle w:val="ListParagraph"/>
        <w:numPr>
          <w:ilvl w:val="0"/>
          <w:numId w:val="0"/>
        </w:numPr>
        <w:ind w:left="426"/>
      </w:pPr>
      <w:r w:rsidRPr="00B30B59">
        <w:rPr>
          <w:noProof/>
        </w:rPr>
        <w:drawing>
          <wp:inline distT="0" distB="0" distL="0" distR="0" wp14:anchorId="05741830" wp14:editId="57B03E32">
            <wp:extent cx="5904230" cy="3683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3683000"/>
                    </a:xfrm>
                    <a:prstGeom prst="rect">
                      <a:avLst/>
                    </a:prstGeom>
                  </pic:spPr>
                </pic:pic>
              </a:graphicData>
            </a:graphic>
          </wp:inline>
        </w:drawing>
      </w:r>
    </w:p>
    <w:p w14:paraId="2553AB5A" w14:textId="77777777" w:rsidR="00157606" w:rsidRDefault="00157606" w:rsidP="00157606">
      <w:pPr>
        <w:pStyle w:val="ListParagraph"/>
      </w:pPr>
      <w:r>
        <w:t xml:space="preserve">Fixed deposits and certificates of deposits both have an agreed start and end date which are arranged where possible, to suit the </w:t>
      </w:r>
      <w:proofErr w:type="spellStart"/>
      <w:r>
        <w:t>cashflow</w:t>
      </w:r>
      <w:proofErr w:type="spellEnd"/>
      <w:r>
        <w:t xml:space="preserve"> requirements. However, as mentioned previously, it is also important to keep a proportion in instant access funds. </w:t>
      </w:r>
    </w:p>
    <w:p w14:paraId="15E1553E" w14:textId="77777777" w:rsidR="00157606" w:rsidRDefault="00157606" w:rsidP="00157606">
      <w:pPr>
        <w:pStyle w:val="ListParagraph"/>
      </w:pPr>
      <w:r>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portfolio.  This limit is reviewed each year when setting the Strategy in order to </w:t>
      </w:r>
      <w:r>
        <w:lastRenderedPageBreak/>
        <w:t xml:space="preserve">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008FF22F" w14:textId="0405D750" w:rsidR="00157606" w:rsidRDefault="00157606" w:rsidP="00157606">
      <w:pPr>
        <w:pStyle w:val="ListParagraph"/>
      </w:pPr>
      <w:r>
        <w:t xml:space="preserve">£10 million is committed in the CCLA and </w:t>
      </w:r>
      <w:proofErr w:type="spellStart"/>
      <w:r>
        <w:t>Lothbury</w:t>
      </w:r>
      <w:proofErr w:type="spellEnd"/>
      <w:r>
        <w:t xml:space="preserve"> property funds and </w:t>
      </w:r>
      <w:r w:rsidR="00BD77AA">
        <w:t>the Council is</w:t>
      </w:r>
      <w:r>
        <w:t xml:space="preserve"> currently looking at utilising residual headroom to invest further in some non-specified investments.  It should be noted that the £5 million invested in the National Homelessness Property Fund (Real Lettings) is, following discussions with </w:t>
      </w:r>
      <w:r w:rsidR="00BD77AA">
        <w:t>the Council’s</w:t>
      </w:r>
      <w:r>
        <w:t xml:space="preserve"> external auditors, classified as a service investment undertaken using service delivery powers rather than treasury powers under Section 12 of the Local Government Act 2003</w:t>
      </w:r>
      <w:r w:rsidR="00E17EDD">
        <w:t>. T</w:t>
      </w:r>
      <w:r w:rsidR="002F6F50">
        <w:t>his means the counterparty limit for the £5m invested in the National Homelessness Property Fund is not taken into account when assessing the residual headroom available for investment in non-specified investments.</w:t>
      </w:r>
    </w:p>
    <w:p w14:paraId="2D4AB391" w14:textId="4CD39B86" w:rsidR="00157606" w:rsidRDefault="00157606" w:rsidP="00157606">
      <w:pPr>
        <w:pStyle w:val="ListParagraph"/>
      </w:pPr>
      <w:r>
        <w:t xml:space="preserve">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w:t>
      </w:r>
      <w:r w:rsidRPr="00954E7F">
        <w:t>£</w:t>
      </w:r>
      <w:r w:rsidR="00B30B59" w:rsidRPr="00954E7F">
        <w:t>60.5</w:t>
      </w:r>
      <w:r w:rsidRPr="00954E7F">
        <w:t>m when excluding the instant access cash)</w:t>
      </w:r>
      <w:r>
        <w:t xml:space="preserve"> is illustrated below.</w:t>
      </w:r>
    </w:p>
    <w:p w14:paraId="1DE57E93" w14:textId="6D02453C" w:rsidR="00B74F18" w:rsidRDefault="00B74F18" w:rsidP="00E74A89">
      <w:pPr>
        <w:pStyle w:val="ListParagraph"/>
        <w:numPr>
          <w:ilvl w:val="0"/>
          <w:numId w:val="0"/>
        </w:numPr>
        <w:ind w:left="426"/>
      </w:pPr>
    </w:p>
    <w:p w14:paraId="23890EC2" w14:textId="494AD274" w:rsidR="00B30B59" w:rsidRDefault="00B30B59" w:rsidP="00E74A89">
      <w:pPr>
        <w:pStyle w:val="ListParagraph"/>
        <w:numPr>
          <w:ilvl w:val="0"/>
          <w:numId w:val="0"/>
        </w:numPr>
        <w:ind w:left="426"/>
      </w:pPr>
      <w:r w:rsidRPr="00B30B59">
        <w:rPr>
          <w:noProof/>
        </w:rPr>
        <w:drawing>
          <wp:inline distT="0" distB="0" distL="0" distR="0" wp14:anchorId="56787FD6" wp14:editId="5BFCB15B">
            <wp:extent cx="5904230" cy="38506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3850640"/>
                    </a:xfrm>
                    <a:prstGeom prst="rect">
                      <a:avLst/>
                    </a:prstGeom>
                  </pic:spPr>
                </pic:pic>
              </a:graphicData>
            </a:graphic>
          </wp:inline>
        </w:drawing>
      </w:r>
    </w:p>
    <w:p w14:paraId="5884D602" w14:textId="77777777" w:rsidR="00E74A89" w:rsidRDefault="00E74A89" w:rsidP="00E74A89">
      <w:pPr>
        <w:pStyle w:val="ListParagraph"/>
      </w:pPr>
      <w:r>
        <w:t xml:space="preserve">The graph below illustrates the same investments by duration period in order to demonstrate duration periods. It is not surprising that the majority of investments have a duration period of six months as this is the limit for most of the banks and </w:t>
      </w:r>
      <w:r>
        <w:lastRenderedPageBreak/>
        <w:t>building societies with whom the Council may invest. When the opportunity arises, longer investments are arranged to allow for a greater yield.</w:t>
      </w:r>
    </w:p>
    <w:p w14:paraId="77819FC8" w14:textId="7357BDB9" w:rsidR="00B74F18" w:rsidRDefault="00B74F18" w:rsidP="00E74A89">
      <w:pPr>
        <w:pStyle w:val="ListParagraph"/>
        <w:numPr>
          <w:ilvl w:val="0"/>
          <w:numId w:val="0"/>
        </w:numPr>
        <w:ind w:left="426"/>
      </w:pPr>
    </w:p>
    <w:p w14:paraId="2C6433DC" w14:textId="40C0DDD8" w:rsidR="00B30B59" w:rsidRDefault="00B30B59" w:rsidP="00E74A89">
      <w:pPr>
        <w:pStyle w:val="ListParagraph"/>
        <w:numPr>
          <w:ilvl w:val="0"/>
          <w:numId w:val="0"/>
        </w:numPr>
        <w:ind w:left="426"/>
      </w:pPr>
      <w:r w:rsidRPr="00B30B59">
        <w:rPr>
          <w:noProof/>
        </w:rPr>
        <w:drawing>
          <wp:inline distT="0" distB="0" distL="0" distR="0" wp14:anchorId="420B6ECD" wp14:editId="00EFDD0E">
            <wp:extent cx="5904230" cy="318706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3187065"/>
                    </a:xfrm>
                    <a:prstGeom prst="rect">
                      <a:avLst/>
                    </a:prstGeom>
                  </pic:spPr>
                </pic:pic>
              </a:graphicData>
            </a:graphic>
          </wp:inline>
        </w:drawing>
      </w:r>
    </w:p>
    <w:p w14:paraId="21CCCE4F" w14:textId="77777777" w:rsidR="00E74A89" w:rsidRPr="00E74A89" w:rsidRDefault="00E74A89" w:rsidP="00E74A89">
      <w:pPr>
        <w:pStyle w:val="ListParagraph"/>
        <w:numPr>
          <w:ilvl w:val="0"/>
          <w:numId w:val="0"/>
        </w:numPr>
        <w:rPr>
          <w:b/>
        </w:rPr>
      </w:pPr>
      <w:r w:rsidRPr="00E74A89">
        <w:rPr>
          <w:b/>
        </w:rPr>
        <w:t>Borrowing</w:t>
      </w:r>
    </w:p>
    <w:p w14:paraId="49137DD9" w14:textId="7F8173AE"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0BCFBCCF" w14:textId="0A11368D" w:rsidR="00506B9D" w:rsidRDefault="00E74A89" w:rsidP="00CE321A">
      <w:pPr>
        <w:pStyle w:val="ListParagraph"/>
      </w:pPr>
      <w:r>
        <w:t xml:space="preserve">The Council anticipates borrowing in the future to meet its capital expenditure requirements, including loans to the Housing Company, but does not anticipate any external borrowing during </w:t>
      </w:r>
      <w:r w:rsidR="00CE321A">
        <w:t>20</w:t>
      </w:r>
      <w:r w:rsidR="00B74F18">
        <w:t>20</w:t>
      </w:r>
      <w:r>
        <w:t>/</w:t>
      </w:r>
      <w:r w:rsidR="00CE321A">
        <w:t>2</w:t>
      </w:r>
      <w:r w:rsidR="00B74F18">
        <w:t>1</w:t>
      </w:r>
      <w:r w:rsidR="00506B9D">
        <w:t>.</w:t>
      </w:r>
    </w:p>
    <w:p w14:paraId="3B8B15E9" w14:textId="6378E11E" w:rsidR="00B52CE1" w:rsidRDefault="00B52CE1" w:rsidP="00E74A89">
      <w:pPr>
        <w:pStyle w:val="ListParagraph"/>
        <w:numPr>
          <w:ilvl w:val="0"/>
          <w:numId w:val="0"/>
        </w:numPr>
        <w:rPr>
          <w:b/>
        </w:rPr>
      </w:pPr>
      <w:r w:rsidRPr="00B52CE1">
        <w:rPr>
          <w:b/>
        </w:rPr>
        <w:t>Treasury and Prudential Limits for 20</w:t>
      </w:r>
      <w:r w:rsidR="00B74F18">
        <w:rPr>
          <w:b/>
        </w:rPr>
        <w:t>20</w:t>
      </w:r>
      <w:r w:rsidRPr="00B52CE1">
        <w:rPr>
          <w:b/>
        </w:rPr>
        <w:t>/</w:t>
      </w:r>
      <w:r w:rsidR="003F36C7">
        <w:rPr>
          <w:b/>
        </w:rPr>
        <w:t>2</w:t>
      </w:r>
      <w:r w:rsidR="00B74F18">
        <w:rPr>
          <w:b/>
        </w:rPr>
        <w:t>1</w:t>
      </w:r>
    </w:p>
    <w:p w14:paraId="61D454C6" w14:textId="7CF64D93" w:rsidR="00B52CE1" w:rsidRDefault="00B52CE1" w:rsidP="00B52CE1">
      <w:pPr>
        <w:pStyle w:val="ListParagraph"/>
      </w:pPr>
      <w:r>
        <w:t>The Council has operated all of its Treasury Management activity within the parameters set by the Treasury and Prudential indicators in the Treasury Management Strategy for 20</w:t>
      </w:r>
      <w:r w:rsidR="00B74F18">
        <w:t>20</w:t>
      </w:r>
      <w:r>
        <w:t>/</w:t>
      </w:r>
      <w:r w:rsidR="003F36C7">
        <w:t>2</w:t>
      </w:r>
      <w:r w:rsidR="00B74F18">
        <w:t>1</w:t>
      </w:r>
      <w:r>
        <w:t>.</w:t>
      </w:r>
    </w:p>
    <w:p w14:paraId="3E6A92AB" w14:textId="77777777" w:rsidR="00E74A89" w:rsidRDefault="00E74A89" w:rsidP="00E74A89">
      <w:pPr>
        <w:pStyle w:val="ListParagraph"/>
        <w:numPr>
          <w:ilvl w:val="0"/>
          <w:numId w:val="0"/>
        </w:numPr>
        <w:rPr>
          <w:b/>
        </w:rPr>
      </w:pPr>
      <w:r w:rsidRPr="00E74A89">
        <w:rPr>
          <w:b/>
        </w:rPr>
        <w:t>Other Key Updates</w:t>
      </w:r>
    </w:p>
    <w:p w14:paraId="198988C2" w14:textId="77777777" w:rsidR="00E74A89" w:rsidRPr="00E74A89" w:rsidRDefault="00E74A89" w:rsidP="00E74A89">
      <w:pPr>
        <w:pStyle w:val="ListParagraph"/>
        <w:numPr>
          <w:ilvl w:val="0"/>
          <w:numId w:val="0"/>
        </w:numPr>
        <w:rPr>
          <w:b/>
        </w:rPr>
      </w:pPr>
      <w:r w:rsidRPr="00E74A89">
        <w:rPr>
          <w:b/>
        </w:rPr>
        <w:t>Changes in Risk Appetite</w:t>
      </w:r>
    </w:p>
    <w:p w14:paraId="4C503DC3" w14:textId="243FD0D3"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w:t>
      </w:r>
      <w:r w:rsidR="00BD77AA">
        <w:t>The</w:t>
      </w:r>
      <w:r w:rsidRPr="00E74A89">
        <w:t xml:space="preserve"> Council has not </w:t>
      </w:r>
      <w:r w:rsidRPr="00E74A89">
        <w:lastRenderedPageBreak/>
        <w:t xml:space="preserve">made any significant changes to its investment approach at this time although there is the intention to further invest in property funds in the near future.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3D5E4006" w14:textId="77777777" w:rsidR="008308BC" w:rsidRPr="004A3128" w:rsidRDefault="008308BC" w:rsidP="008308BC">
      <w:pPr>
        <w:pStyle w:val="Heading1"/>
      </w:pPr>
      <w:r w:rsidRPr="004A3128">
        <w:t>Treasury Advisor</w:t>
      </w:r>
    </w:p>
    <w:p w14:paraId="63CB0C61" w14:textId="77777777"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14:paraId="7FA6DC25" w14:textId="77777777" w:rsidR="0040736F" w:rsidRPr="001356F1" w:rsidRDefault="002329CF" w:rsidP="004A6D2F">
      <w:pPr>
        <w:pStyle w:val="Heading1"/>
      </w:pPr>
      <w:r w:rsidRPr="001356F1">
        <w:t xml:space="preserve">Financial </w:t>
      </w:r>
      <w:r w:rsidR="007B3C94">
        <w:t>I</w:t>
      </w:r>
      <w:r w:rsidRPr="001356F1">
        <w:t>mplications</w:t>
      </w:r>
    </w:p>
    <w:p w14:paraId="3F5881C2" w14:textId="77777777" w:rsidR="00E87F7A" w:rsidRPr="001356F1" w:rsidRDefault="008308BC" w:rsidP="008308BC">
      <w:pPr>
        <w:pStyle w:val="ListParagraph"/>
      </w:pPr>
      <w:r w:rsidRPr="008308BC">
        <w:t>Any financial implications are contained within the body of this report.</w:t>
      </w:r>
    </w:p>
    <w:p w14:paraId="4176D54E" w14:textId="77777777" w:rsidR="0040736F" w:rsidRPr="001356F1" w:rsidRDefault="00DA614B" w:rsidP="004A6D2F">
      <w:pPr>
        <w:pStyle w:val="Heading1"/>
      </w:pPr>
      <w:r w:rsidRPr="001356F1">
        <w:t xml:space="preserve">Legal </w:t>
      </w:r>
      <w:r w:rsidR="007B3C94">
        <w:t>I</w:t>
      </w:r>
      <w:r w:rsidRPr="001356F1">
        <w:t>ssues</w:t>
      </w:r>
    </w:p>
    <w:p w14:paraId="06E1E569" w14:textId="77777777" w:rsidR="00E87F7A" w:rsidRPr="001356F1" w:rsidRDefault="008308BC" w:rsidP="008308BC">
      <w:pPr>
        <w:pStyle w:val="ListParagraph"/>
      </w:pPr>
      <w:r w:rsidRPr="008308BC">
        <w:t>There are no legal implications directly relevant to this report.</w:t>
      </w:r>
    </w:p>
    <w:p w14:paraId="232A98FB" w14:textId="77777777" w:rsidR="002329CF" w:rsidRPr="001356F1" w:rsidRDefault="002329CF" w:rsidP="004A6D2F">
      <w:pPr>
        <w:pStyle w:val="Heading1"/>
      </w:pPr>
      <w:r w:rsidRPr="001356F1">
        <w:t xml:space="preserve">Level of </w:t>
      </w:r>
      <w:r w:rsidR="007B3C94">
        <w:t>R</w:t>
      </w:r>
      <w:r w:rsidRPr="001356F1">
        <w:t>isk</w:t>
      </w:r>
    </w:p>
    <w:p w14:paraId="343B92A0" w14:textId="77777777" w:rsidR="00BC69A4" w:rsidRPr="001356F1" w:rsidRDefault="008308BC" w:rsidP="008308BC">
      <w:pPr>
        <w:pStyle w:val="ListParagraph"/>
      </w:pPr>
      <w:r w:rsidRPr="008308BC">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14:paraId="6C74DBDD" w14:textId="77777777" w:rsidR="002329CF" w:rsidRPr="001356F1" w:rsidRDefault="002329CF" w:rsidP="0050321C">
      <w:pPr>
        <w:pStyle w:val="Heading1"/>
      </w:pPr>
      <w:r w:rsidRPr="001356F1">
        <w:t xml:space="preserve">Equalities </w:t>
      </w:r>
      <w:r w:rsidR="007B3C94">
        <w:t>I</w:t>
      </w:r>
      <w:r w:rsidRPr="001356F1">
        <w:t xml:space="preserve">mpact </w:t>
      </w:r>
    </w:p>
    <w:p w14:paraId="5A23A206" w14:textId="77777777" w:rsidR="002329CF" w:rsidRPr="001356F1" w:rsidRDefault="008308BC" w:rsidP="008308BC">
      <w:pPr>
        <w:pStyle w:val="ListParagraph"/>
      </w:pPr>
      <w:r w:rsidRPr="008308BC">
        <w:t>There are no equalities impacts arising directly from this report.</w:t>
      </w:r>
    </w:p>
    <w:p w14:paraId="240B9A0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8DA25C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20837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612BCD" w14:textId="77777777" w:rsidR="00E87F7A" w:rsidRPr="001356F1" w:rsidRDefault="00533C64" w:rsidP="00533C64">
            <w:r>
              <w:t>Bill Lewis</w:t>
            </w:r>
          </w:p>
        </w:tc>
      </w:tr>
      <w:tr w:rsidR="00DF093E" w:rsidRPr="001356F1" w14:paraId="21FE73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E7EFA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E1A187" w14:textId="77777777" w:rsidR="00E87F7A" w:rsidRPr="001356F1" w:rsidRDefault="00533C64" w:rsidP="00533C64">
            <w:r>
              <w:t>Financial Accounting Manager</w:t>
            </w:r>
          </w:p>
        </w:tc>
      </w:tr>
      <w:tr w:rsidR="00DF093E" w:rsidRPr="001356F1" w14:paraId="68939179" w14:textId="77777777" w:rsidTr="00A46E98">
        <w:trPr>
          <w:cantSplit/>
          <w:trHeight w:val="396"/>
        </w:trPr>
        <w:tc>
          <w:tcPr>
            <w:tcW w:w="3969" w:type="dxa"/>
            <w:tcBorders>
              <w:top w:val="nil"/>
              <w:left w:val="single" w:sz="8" w:space="0" w:color="000000"/>
              <w:bottom w:val="nil"/>
              <w:right w:val="nil"/>
            </w:tcBorders>
            <w:shd w:val="clear" w:color="auto" w:fill="auto"/>
          </w:tcPr>
          <w:p w14:paraId="398F120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0B4865E" w14:textId="77777777" w:rsidR="00E87F7A" w:rsidRPr="001356F1" w:rsidRDefault="00533C64" w:rsidP="00A46E98">
            <w:r>
              <w:t>Financial Services</w:t>
            </w:r>
          </w:p>
        </w:tc>
      </w:tr>
      <w:tr w:rsidR="00DF093E" w:rsidRPr="001356F1" w14:paraId="213BA7AF" w14:textId="77777777" w:rsidTr="00A46E98">
        <w:trPr>
          <w:cantSplit/>
          <w:trHeight w:val="396"/>
        </w:trPr>
        <w:tc>
          <w:tcPr>
            <w:tcW w:w="3969" w:type="dxa"/>
            <w:tcBorders>
              <w:top w:val="nil"/>
              <w:left w:val="single" w:sz="8" w:space="0" w:color="000000"/>
              <w:bottom w:val="nil"/>
              <w:right w:val="nil"/>
            </w:tcBorders>
            <w:shd w:val="clear" w:color="auto" w:fill="auto"/>
          </w:tcPr>
          <w:p w14:paraId="0040BA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E334DC7" w14:textId="77777777" w:rsidR="00E87F7A" w:rsidRPr="001356F1" w:rsidRDefault="00E87F7A" w:rsidP="00533C64">
            <w:r w:rsidRPr="001356F1">
              <w:t xml:space="preserve">01865 </w:t>
            </w:r>
            <w:r w:rsidR="00533C64">
              <w:t xml:space="preserve">252607 </w:t>
            </w:r>
          </w:p>
        </w:tc>
      </w:tr>
      <w:tr w:rsidR="005570B5" w:rsidRPr="001356F1" w14:paraId="6D5217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89CA50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C734605"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014F8F1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57F2F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430F6F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058A673" w14:textId="77777777" w:rsidR="00CE4C87" w:rsidRDefault="00CE4C87" w:rsidP="0093067A"/>
    <w:sectPr w:rsidR="00CE4C87" w:rsidSect="00BC200B">
      <w:footerReference w:type="even" r:id="rId15"/>
      <w:footerReference w:type="default"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85CAD" w14:textId="77777777" w:rsidR="001D00A3" w:rsidRDefault="001D00A3" w:rsidP="004A6D2F">
      <w:r>
        <w:separator/>
      </w:r>
    </w:p>
  </w:endnote>
  <w:endnote w:type="continuationSeparator" w:id="0">
    <w:p w14:paraId="5C86C878" w14:textId="77777777" w:rsidR="001D00A3" w:rsidRDefault="001D00A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152B" w14:textId="77777777" w:rsidR="003E5EEB" w:rsidRDefault="003E5EEB" w:rsidP="004A6D2F">
    <w:pPr>
      <w:pStyle w:val="Footer"/>
    </w:pPr>
    <w:r>
      <w:t>Do not use a footer or page numbers.</w:t>
    </w:r>
  </w:p>
  <w:p w14:paraId="6334CB1D" w14:textId="77777777" w:rsidR="003E5EEB" w:rsidRDefault="003E5EEB" w:rsidP="004A6D2F">
    <w:pPr>
      <w:pStyle w:val="Footer"/>
    </w:pPr>
  </w:p>
  <w:p w14:paraId="7B611616"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60711"/>
      <w:docPartObj>
        <w:docPartGallery w:val="Page Numbers (Bottom of Page)"/>
        <w:docPartUnique/>
      </w:docPartObj>
    </w:sdtPr>
    <w:sdtEndPr>
      <w:rPr>
        <w:noProof/>
      </w:rPr>
    </w:sdtEndPr>
    <w:sdtContent>
      <w:p w14:paraId="5C25B8E1" w14:textId="21358D02" w:rsidR="00E2258E" w:rsidRDefault="00E2258E">
        <w:pPr>
          <w:pStyle w:val="Footer"/>
          <w:jc w:val="center"/>
        </w:pPr>
        <w:r>
          <w:fldChar w:fldCharType="begin"/>
        </w:r>
        <w:r>
          <w:instrText xml:space="preserve"> PAGE   \* MERGEFORMAT </w:instrText>
        </w:r>
        <w:r>
          <w:fldChar w:fldCharType="separate"/>
        </w:r>
        <w:r w:rsidR="00706CE1">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38E1"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23AC" w14:textId="77777777" w:rsidR="001D00A3" w:rsidRDefault="001D00A3" w:rsidP="004A6D2F">
      <w:r>
        <w:separator/>
      </w:r>
    </w:p>
  </w:footnote>
  <w:footnote w:type="continuationSeparator" w:id="0">
    <w:p w14:paraId="1874A2D7" w14:textId="77777777" w:rsidR="001D00A3" w:rsidRDefault="001D00A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9FAC" w14:textId="77777777" w:rsidR="003E5EEB" w:rsidRDefault="003E5EEB" w:rsidP="00D5547E">
    <w:pPr>
      <w:pStyle w:val="Header"/>
      <w:jc w:val="right"/>
    </w:pPr>
    <w:r>
      <w:rPr>
        <w:noProof/>
      </w:rPr>
      <w:drawing>
        <wp:inline distT="0" distB="0" distL="0" distR="0" wp14:anchorId="1F61969B" wp14:editId="7DDB6AE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177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FF2BC6"/>
    <w:multiLevelType w:val="hybridMultilevel"/>
    <w:tmpl w:val="5C6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D91D93"/>
    <w:multiLevelType w:val="multilevel"/>
    <w:tmpl w:val="6AC45226"/>
    <w:lvl w:ilvl="0">
      <w:start w:val="1"/>
      <w:numFmt w:val="bullet"/>
      <w:lvlText w:val=""/>
      <w:lvlJc w:val="left"/>
      <w:pPr>
        <w:ind w:left="3904"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4DC2009"/>
    <w:multiLevelType w:val="hybridMultilevel"/>
    <w:tmpl w:val="85B04F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22831"/>
    <w:multiLevelType w:val="multilevel"/>
    <w:tmpl w:val="43D6D2FA"/>
    <w:numStyleLink w:val="StyleBulletedSymbolsymbolLeft063cmHanging063cm"/>
  </w:abstractNum>
  <w:abstractNum w:abstractNumId="40" w15:restartNumberingAfterBreak="0">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8365C6"/>
    <w:multiLevelType w:val="multilevel"/>
    <w:tmpl w:val="E67CE66C"/>
    <w:numStyleLink w:val="StyleNumberedLeft0cmHanging075cm"/>
  </w:abstractNum>
  <w:abstractNum w:abstractNumId="46" w15:restartNumberingAfterBreak="0">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42"/>
  </w:num>
  <w:num w:numId="3">
    <w:abstractNumId w:val="30"/>
  </w:num>
  <w:num w:numId="4">
    <w:abstractNumId w:val="23"/>
  </w:num>
  <w:num w:numId="5">
    <w:abstractNumId w:val="38"/>
  </w:num>
  <w:num w:numId="6">
    <w:abstractNumId w:val="44"/>
  </w:num>
  <w:num w:numId="7">
    <w:abstractNumId w:val="28"/>
  </w:num>
  <w:num w:numId="8">
    <w:abstractNumId w:val="26"/>
  </w:num>
  <w:num w:numId="9">
    <w:abstractNumId w:val="13"/>
  </w:num>
  <w:num w:numId="10">
    <w:abstractNumId w:val="18"/>
  </w:num>
  <w:num w:numId="11">
    <w:abstractNumId w:val="34"/>
  </w:num>
  <w:num w:numId="12">
    <w:abstractNumId w:val="31"/>
  </w:num>
  <w:num w:numId="13">
    <w:abstractNumId w:val="10"/>
  </w:num>
  <w:num w:numId="14">
    <w:abstractNumId w:val="45"/>
  </w:num>
  <w:num w:numId="15">
    <w:abstractNumId w:val="20"/>
  </w:num>
  <w:num w:numId="16">
    <w:abstractNumId w:val="11"/>
  </w:num>
  <w:num w:numId="17">
    <w:abstractNumId w:val="37"/>
  </w:num>
  <w:num w:numId="18">
    <w:abstractNumId w:val="12"/>
  </w:num>
  <w:num w:numId="19">
    <w:abstractNumId w:val="39"/>
  </w:num>
  <w:num w:numId="20">
    <w:abstractNumId w:val="21"/>
  </w:num>
  <w:num w:numId="21">
    <w:abstractNumId w:val="27"/>
  </w:num>
  <w:num w:numId="22">
    <w:abstractNumId w:val="14"/>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0"/>
  </w:num>
  <w:num w:numId="35">
    <w:abstractNumId w:val="33"/>
  </w:num>
  <w:num w:numId="36">
    <w:abstractNumId w:val="46"/>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5"/>
  </w:num>
  <w:num w:numId="41">
    <w:abstractNumId w:val="43"/>
  </w:num>
  <w:num w:numId="42">
    <w:abstractNumId w:val="22"/>
  </w:num>
  <w:num w:numId="43">
    <w:abstractNumId w:val="29"/>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7"/>
  </w:num>
  <w:num w:numId="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543D"/>
    <w:rsid w:val="00016B12"/>
    <w:rsid w:val="000314D7"/>
    <w:rsid w:val="000367D6"/>
    <w:rsid w:val="00045F8B"/>
    <w:rsid w:val="00046D2B"/>
    <w:rsid w:val="00056263"/>
    <w:rsid w:val="00064D8A"/>
    <w:rsid w:val="00064F82"/>
    <w:rsid w:val="00066510"/>
    <w:rsid w:val="000737D6"/>
    <w:rsid w:val="00076963"/>
    <w:rsid w:val="00077523"/>
    <w:rsid w:val="00091FED"/>
    <w:rsid w:val="000B1E0D"/>
    <w:rsid w:val="000C089F"/>
    <w:rsid w:val="000C3928"/>
    <w:rsid w:val="000C5E8E"/>
    <w:rsid w:val="000C7496"/>
    <w:rsid w:val="000F1A5B"/>
    <w:rsid w:val="000F4751"/>
    <w:rsid w:val="000F47D2"/>
    <w:rsid w:val="000F6532"/>
    <w:rsid w:val="0010524C"/>
    <w:rsid w:val="00106DCE"/>
    <w:rsid w:val="00111A0B"/>
    <w:rsid w:val="00111FB1"/>
    <w:rsid w:val="00113418"/>
    <w:rsid w:val="00116900"/>
    <w:rsid w:val="00116F97"/>
    <w:rsid w:val="00117C98"/>
    <w:rsid w:val="001263BE"/>
    <w:rsid w:val="001356F1"/>
    <w:rsid w:val="00136994"/>
    <w:rsid w:val="0014128E"/>
    <w:rsid w:val="00151888"/>
    <w:rsid w:val="00152C25"/>
    <w:rsid w:val="001533F1"/>
    <w:rsid w:val="00157606"/>
    <w:rsid w:val="00170A2D"/>
    <w:rsid w:val="001808BC"/>
    <w:rsid w:val="00182B81"/>
    <w:rsid w:val="0018619D"/>
    <w:rsid w:val="001A011E"/>
    <w:rsid w:val="001A066A"/>
    <w:rsid w:val="001A13E6"/>
    <w:rsid w:val="001A4E08"/>
    <w:rsid w:val="001A5731"/>
    <w:rsid w:val="001B42C3"/>
    <w:rsid w:val="001B7B0D"/>
    <w:rsid w:val="001C54B9"/>
    <w:rsid w:val="001C5D5E"/>
    <w:rsid w:val="001C67C5"/>
    <w:rsid w:val="001D00A3"/>
    <w:rsid w:val="001D0ACC"/>
    <w:rsid w:val="001D678D"/>
    <w:rsid w:val="001E03F8"/>
    <w:rsid w:val="001E1678"/>
    <w:rsid w:val="001E3376"/>
    <w:rsid w:val="001F7D5D"/>
    <w:rsid w:val="0020263A"/>
    <w:rsid w:val="002069B3"/>
    <w:rsid w:val="00223CEA"/>
    <w:rsid w:val="002329CF"/>
    <w:rsid w:val="00232F5B"/>
    <w:rsid w:val="00247C29"/>
    <w:rsid w:val="00260467"/>
    <w:rsid w:val="00263EA3"/>
    <w:rsid w:val="00264139"/>
    <w:rsid w:val="00281815"/>
    <w:rsid w:val="00284F85"/>
    <w:rsid w:val="00290915"/>
    <w:rsid w:val="002A22E2"/>
    <w:rsid w:val="002A3BF5"/>
    <w:rsid w:val="002A7E9C"/>
    <w:rsid w:val="002C64F7"/>
    <w:rsid w:val="002D0C99"/>
    <w:rsid w:val="002D33DC"/>
    <w:rsid w:val="002E3E33"/>
    <w:rsid w:val="002E56C0"/>
    <w:rsid w:val="002F41F2"/>
    <w:rsid w:val="002F6F50"/>
    <w:rsid w:val="00301BF3"/>
    <w:rsid w:val="0030208D"/>
    <w:rsid w:val="00323418"/>
    <w:rsid w:val="00327AAB"/>
    <w:rsid w:val="00334841"/>
    <w:rsid w:val="003357BF"/>
    <w:rsid w:val="00337A46"/>
    <w:rsid w:val="00344001"/>
    <w:rsid w:val="00364FAD"/>
    <w:rsid w:val="003655E1"/>
    <w:rsid w:val="0036738F"/>
    <w:rsid w:val="0036759C"/>
    <w:rsid w:val="00367AE5"/>
    <w:rsid w:val="00367D71"/>
    <w:rsid w:val="0038150A"/>
    <w:rsid w:val="00381A17"/>
    <w:rsid w:val="003826C2"/>
    <w:rsid w:val="00397FF1"/>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440F1"/>
    <w:rsid w:val="004456DD"/>
    <w:rsid w:val="00446CDF"/>
    <w:rsid w:val="004521B7"/>
    <w:rsid w:val="00452AA4"/>
    <w:rsid w:val="00452AFC"/>
    <w:rsid w:val="00456B49"/>
    <w:rsid w:val="00462AB5"/>
    <w:rsid w:val="00465EAF"/>
    <w:rsid w:val="004738C5"/>
    <w:rsid w:val="00473FE9"/>
    <w:rsid w:val="004761CB"/>
    <w:rsid w:val="00491046"/>
    <w:rsid w:val="00491176"/>
    <w:rsid w:val="004A2AC7"/>
    <w:rsid w:val="004A406E"/>
    <w:rsid w:val="004A6D2F"/>
    <w:rsid w:val="004B17AB"/>
    <w:rsid w:val="004B45EC"/>
    <w:rsid w:val="004C070C"/>
    <w:rsid w:val="004C2887"/>
    <w:rsid w:val="004D2626"/>
    <w:rsid w:val="004D6E26"/>
    <w:rsid w:val="004D77D3"/>
    <w:rsid w:val="004E20D8"/>
    <w:rsid w:val="004E2959"/>
    <w:rsid w:val="004F20EF"/>
    <w:rsid w:val="0050321C"/>
    <w:rsid w:val="00506B9D"/>
    <w:rsid w:val="00533B07"/>
    <w:rsid w:val="00533C64"/>
    <w:rsid w:val="00545231"/>
    <w:rsid w:val="0054712D"/>
    <w:rsid w:val="00547EF6"/>
    <w:rsid w:val="005570B5"/>
    <w:rsid w:val="00567E18"/>
    <w:rsid w:val="00575F5F"/>
    <w:rsid w:val="005805E9"/>
    <w:rsid w:val="00581805"/>
    <w:rsid w:val="00585F76"/>
    <w:rsid w:val="005A34E4"/>
    <w:rsid w:val="005B17F2"/>
    <w:rsid w:val="005B7FB0"/>
    <w:rsid w:val="005C277E"/>
    <w:rsid w:val="005C35A5"/>
    <w:rsid w:val="005C577C"/>
    <w:rsid w:val="005D0621"/>
    <w:rsid w:val="005D1E27"/>
    <w:rsid w:val="005D2A3E"/>
    <w:rsid w:val="005D5B75"/>
    <w:rsid w:val="005E022E"/>
    <w:rsid w:val="005E5215"/>
    <w:rsid w:val="005F36C5"/>
    <w:rsid w:val="005F7F7E"/>
    <w:rsid w:val="00604489"/>
    <w:rsid w:val="0061279E"/>
    <w:rsid w:val="00614693"/>
    <w:rsid w:val="00623C2F"/>
    <w:rsid w:val="00633578"/>
    <w:rsid w:val="00637068"/>
    <w:rsid w:val="00650811"/>
    <w:rsid w:val="00651559"/>
    <w:rsid w:val="00655EEF"/>
    <w:rsid w:val="00661D3E"/>
    <w:rsid w:val="00666EFD"/>
    <w:rsid w:val="00692627"/>
    <w:rsid w:val="006969E7"/>
    <w:rsid w:val="006A3643"/>
    <w:rsid w:val="006B2577"/>
    <w:rsid w:val="006C2A29"/>
    <w:rsid w:val="006C64CF"/>
    <w:rsid w:val="006D055A"/>
    <w:rsid w:val="006D0B1F"/>
    <w:rsid w:val="006D17B1"/>
    <w:rsid w:val="006D216D"/>
    <w:rsid w:val="006D4752"/>
    <w:rsid w:val="006D708A"/>
    <w:rsid w:val="006E14C1"/>
    <w:rsid w:val="006E6C75"/>
    <w:rsid w:val="006F0292"/>
    <w:rsid w:val="006F27FA"/>
    <w:rsid w:val="006F416B"/>
    <w:rsid w:val="006F519B"/>
    <w:rsid w:val="007065AB"/>
    <w:rsid w:val="00706CE1"/>
    <w:rsid w:val="00713675"/>
    <w:rsid w:val="007147A7"/>
    <w:rsid w:val="00715823"/>
    <w:rsid w:val="0072259D"/>
    <w:rsid w:val="00731FFA"/>
    <w:rsid w:val="00737B93"/>
    <w:rsid w:val="00745BF0"/>
    <w:rsid w:val="007615FE"/>
    <w:rsid w:val="007658AC"/>
    <w:rsid w:val="0076655C"/>
    <w:rsid w:val="007742DC"/>
    <w:rsid w:val="00777336"/>
    <w:rsid w:val="00780548"/>
    <w:rsid w:val="00791437"/>
    <w:rsid w:val="007B0C2C"/>
    <w:rsid w:val="007B278E"/>
    <w:rsid w:val="007B3C94"/>
    <w:rsid w:val="007C5C23"/>
    <w:rsid w:val="007C7A97"/>
    <w:rsid w:val="007E1F04"/>
    <w:rsid w:val="007E2A26"/>
    <w:rsid w:val="007F2348"/>
    <w:rsid w:val="00801D6C"/>
    <w:rsid w:val="00803F07"/>
    <w:rsid w:val="008060AA"/>
    <w:rsid w:val="0080749A"/>
    <w:rsid w:val="00816F0E"/>
    <w:rsid w:val="008174BF"/>
    <w:rsid w:val="00821FB8"/>
    <w:rsid w:val="00822ACD"/>
    <w:rsid w:val="008308BC"/>
    <w:rsid w:val="008379E3"/>
    <w:rsid w:val="00854080"/>
    <w:rsid w:val="00855C66"/>
    <w:rsid w:val="0086095D"/>
    <w:rsid w:val="00861414"/>
    <w:rsid w:val="00871EE4"/>
    <w:rsid w:val="00882DC9"/>
    <w:rsid w:val="008B293F"/>
    <w:rsid w:val="008B7371"/>
    <w:rsid w:val="008C7E71"/>
    <w:rsid w:val="008D3DDB"/>
    <w:rsid w:val="008F573F"/>
    <w:rsid w:val="009034EC"/>
    <w:rsid w:val="0093067A"/>
    <w:rsid w:val="00934B61"/>
    <w:rsid w:val="00941C60"/>
    <w:rsid w:val="009477A8"/>
    <w:rsid w:val="00954E7F"/>
    <w:rsid w:val="00966D42"/>
    <w:rsid w:val="00970E3B"/>
    <w:rsid w:val="00971689"/>
    <w:rsid w:val="00973E90"/>
    <w:rsid w:val="0097582C"/>
    <w:rsid w:val="00975B07"/>
    <w:rsid w:val="00980B4A"/>
    <w:rsid w:val="009A2EB5"/>
    <w:rsid w:val="009B49FF"/>
    <w:rsid w:val="009E3D0A"/>
    <w:rsid w:val="009E51FC"/>
    <w:rsid w:val="009F1D28"/>
    <w:rsid w:val="009F7618"/>
    <w:rsid w:val="00A04D23"/>
    <w:rsid w:val="00A0521F"/>
    <w:rsid w:val="00A06766"/>
    <w:rsid w:val="00A13765"/>
    <w:rsid w:val="00A21B12"/>
    <w:rsid w:val="00A23F80"/>
    <w:rsid w:val="00A41F66"/>
    <w:rsid w:val="00A43055"/>
    <w:rsid w:val="00A46E98"/>
    <w:rsid w:val="00A512AA"/>
    <w:rsid w:val="00A6352B"/>
    <w:rsid w:val="00A701B5"/>
    <w:rsid w:val="00A714BB"/>
    <w:rsid w:val="00A92D8F"/>
    <w:rsid w:val="00AB168C"/>
    <w:rsid w:val="00AB1E10"/>
    <w:rsid w:val="00AB2988"/>
    <w:rsid w:val="00AB719A"/>
    <w:rsid w:val="00AB7999"/>
    <w:rsid w:val="00AC09DB"/>
    <w:rsid w:val="00AD3292"/>
    <w:rsid w:val="00AE7AF0"/>
    <w:rsid w:val="00AF080E"/>
    <w:rsid w:val="00B30B59"/>
    <w:rsid w:val="00B500CA"/>
    <w:rsid w:val="00B52CE1"/>
    <w:rsid w:val="00B614F7"/>
    <w:rsid w:val="00B61C66"/>
    <w:rsid w:val="00B66DE5"/>
    <w:rsid w:val="00B67BEB"/>
    <w:rsid w:val="00B74F18"/>
    <w:rsid w:val="00B84FAF"/>
    <w:rsid w:val="00B86314"/>
    <w:rsid w:val="00B92DC9"/>
    <w:rsid w:val="00BA1C2E"/>
    <w:rsid w:val="00BB1B95"/>
    <w:rsid w:val="00BB4EE7"/>
    <w:rsid w:val="00BC200B"/>
    <w:rsid w:val="00BC4756"/>
    <w:rsid w:val="00BC69A4"/>
    <w:rsid w:val="00BD77AA"/>
    <w:rsid w:val="00BE0680"/>
    <w:rsid w:val="00BE305F"/>
    <w:rsid w:val="00BE7BA3"/>
    <w:rsid w:val="00BF3984"/>
    <w:rsid w:val="00BF5682"/>
    <w:rsid w:val="00BF7B09"/>
    <w:rsid w:val="00C118A4"/>
    <w:rsid w:val="00C20A95"/>
    <w:rsid w:val="00C2229E"/>
    <w:rsid w:val="00C2692F"/>
    <w:rsid w:val="00C3201E"/>
    <w:rsid w:val="00C3207C"/>
    <w:rsid w:val="00C400E1"/>
    <w:rsid w:val="00C41187"/>
    <w:rsid w:val="00C54169"/>
    <w:rsid w:val="00C5589F"/>
    <w:rsid w:val="00C63C31"/>
    <w:rsid w:val="00C757A0"/>
    <w:rsid w:val="00C760DE"/>
    <w:rsid w:val="00C82630"/>
    <w:rsid w:val="00C85B4E"/>
    <w:rsid w:val="00C87552"/>
    <w:rsid w:val="00C907F7"/>
    <w:rsid w:val="00CA0AD6"/>
    <w:rsid w:val="00CA2103"/>
    <w:rsid w:val="00CA349E"/>
    <w:rsid w:val="00CA76EF"/>
    <w:rsid w:val="00CB6B99"/>
    <w:rsid w:val="00CE321A"/>
    <w:rsid w:val="00CE4C87"/>
    <w:rsid w:val="00CE508D"/>
    <w:rsid w:val="00CE544A"/>
    <w:rsid w:val="00D11E1C"/>
    <w:rsid w:val="00D160B0"/>
    <w:rsid w:val="00D17F94"/>
    <w:rsid w:val="00D223FC"/>
    <w:rsid w:val="00D26D1E"/>
    <w:rsid w:val="00D474CF"/>
    <w:rsid w:val="00D5547E"/>
    <w:rsid w:val="00D57A34"/>
    <w:rsid w:val="00D637C7"/>
    <w:rsid w:val="00D6630A"/>
    <w:rsid w:val="00D75E82"/>
    <w:rsid w:val="00D82098"/>
    <w:rsid w:val="00D869A1"/>
    <w:rsid w:val="00D965E6"/>
    <w:rsid w:val="00DA413F"/>
    <w:rsid w:val="00DA4584"/>
    <w:rsid w:val="00DA614B"/>
    <w:rsid w:val="00DB2420"/>
    <w:rsid w:val="00DC3060"/>
    <w:rsid w:val="00DD58A7"/>
    <w:rsid w:val="00DE0E5D"/>
    <w:rsid w:val="00DE0FB2"/>
    <w:rsid w:val="00DF093E"/>
    <w:rsid w:val="00E01112"/>
    <w:rsid w:val="00E01F42"/>
    <w:rsid w:val="00E17EDD"/>
    <w:rsid w:val="00E206D6"/>
    <w:rsid w:val="00E2258E"/>
    <w:rsid w:val="00E3366E"/>
    <w:rsid w:val="00E52086"/>
    <w:rsid w:val="00E543A6"/>
    <w:rsid w:val="00E60479"/>
    <w:rsid w:val="00E61D73"/>
    <w:rsid w:val="00E73684"/>
    <w:rsid w:val="00E7402B"/>
    <w:rsid w:val="00E74A89"/>
    <w:rsid w:val="00E8024D"/>
    <w:rsid w:val="00E818D6"/>
    <w:rsid w:val="00E87F7A"/>
    <w:rsid w:val="00E91DD0"/>
    <w:rsid w:val="00E96BD7"/>
    <w:rsid w:val="00EA0DB1"/>
    <w:rsid w:val="00EA0EE9"/>
    <w:rsid w:val="00ED52CA"/>
    <w:rsid w:val="00ED5526"/>
    <w:rsid w:val="00ED5860"/>
    <w:rsid w:val="00EE067E"/>
    <w:rsid w:val="00EE35C9"/>
    <w:rsid w:val="00EF35DE"/>
    <w:rsid w:val="00F05ECA"/>
    <w:rsid w:val="00F07E18"/>
    <w:rsid w:val="00F324D1"/>
    <w:rsid w:val="00F32786"/>
    <w:rsid w:val="00F3566E"/>
    <w:rsid w:val="00F36533"/>
    <w:rsid w:val="00F375FB"/>
    <w:rsid w:val="00F41AC1"/>
    <w:rsid w:val="00F4367A"/>
    <w:rsid w:val="00F445B1"/>
    <w:rsid w:val="00F45CD4"/>
    <w:rsid w:val="00F66DCA"/>
    <w:rsid w:val="00F72DA1"/>
    <w:rsid w:val="00F74F53"/>
    <w:rsid w:val="00F7606D"/>
    <w:rsid w:val="00F81670"/>
    <w:rsid w:val="00F82024"/>
    <w:rsid w:val="00F854FB"/>
    <w:rsid w:val="00F95BC9"/>
    <w:rsid w:val="00FA624C"/>
    <w:rsid w:val="00FB498D"/>
    <w:rsid w:val="00FB6DAE"/>
    <w:rsid w:val="00FD0FAC"/>
    <w:rsid w:val="00FD1DFA"/>
    <w:rsid w:val="00FD4966"/>
    <w:rsid w:val="00FE40F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77E826"/>
  <w15:docId w15:val="{223CD5CD-547D-4A55-BD01-D2DDB44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 w:type="character" w:customStyle="1" w:styleId="FooterChar">
    <w:name w:val="Footer Char"/>
    <w:aliases w:val="zzFooter Char"/>
    <w:basedOn w:val="DefaultParagraphFont"/>
    <w:link w:val="Footer"/>
    <w:uiPriority w:val="99"/>
    <w:rsid w:val="00E2258E"/>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84DE-C483-439B-BDA6-745736C3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4A55F3C1</Template>
  <TotalTime>4</TotalTime>
  <Pages>11</Pages>
  <Words>3065</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HUDSON Tom</cp:lastModifiedBy>
  <cp:revision>4</cp:revision>
  <cp:lastPrinted>2015-07-03T13:50:00Z</cp:lastPrinted>
  <dcterms:created xsi:type="dcterms:W3CDTF">2020-11-16T09:47:00Z</dcterms:created>
  <dcterms:modified xsi:type="dcterms:W3CDTF">2020-11-25T10:00:00Z</dcterms:modified>
</cp:coreProperties>
</file>